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8A9" w14:textId="028FC336" w:rsidR="006B6973" w:rsidRDefault="006B6973" w:rsidP="00046C7A">
      <w:pPr>
        <w:jc w:val="center"/>
        <w:rPr>
          <w:sz w:val="28"/>
          <w:szCs w:val="28"/>
          <w:u w:val="single"/>
        </w:rPr>
      </w:pPr>
      <w:r w:rsidRPr="00BD660C">
        <w:rPr>
          <w:noProof/>
        </w:rPr>
        <w:drawing>
          <wp:inline distT="0" distB="0" distL="0" distR="0" wp14:anchorId="5BB62ECD" wp14:editId="772E65AE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A04B" w14:textId="77777777" w:rsidR="006B6973" w:rsidRPr="006B6973" w:rsidRDefault="006B6973" w:rsidP="00046C7A">
      <w:pPr>
        <w:jc w:val="center"/>
        <w:rPr>
          <w:sz w:val="6"/>
          <w:szCs w:val="6"/>
          <w:u w:val="single"/>
        </w:rPr>
      </w:pPr>
    </w:p>
    <w:p w14:paraId="11941DC3" w14:textId="64AD17DE" w:rsidR="006B6973" w:rsidRPr="00D975D4" w:rsidRDefault="00046C7A" w:rsidP="00046C7A">
      <w:pPr>
        <w:jc w:val="center"/>
        <w:rPr>
          <w:sz w:val="32"/>
          <w:szCs w:val="32"/>
          <w:u w:val="single"/>
        </w:rPr>
      </w:pPr>
      <w:r w:rsidRPr="00D975D4">
        <w:rPr>
          <w:sz w:val="32"/>
          <w:szCs w:val="32"/>
          <w:u w:val="single"/>
        </w:rPr>
        <w:t>MEP.de 202</w:t>
      </w:r>
      <w:r w:rsidR="006B3460" w:rsidRPr="00D975D4">
        <w:rPr>
          <w:sz w:val="32"/>
          <w:szCs w:val="32"/>
          <w:u w:val="single"/>
        </w:rPr>
        <w:t>1</w:t>
      </w:r>
      <w:r w:rsidRPr="00D975D4">
        <w:rPr>
          <w:sz w:val="32"/>
          <w:szCs w:val="32"/>
          <w:u w:val="single"/>
        </w:rPr>
        <w:t>: Ausschüsse</w:t>
      </w:r>
    </w:p>
    <w:p w14:paraId="5F798DB7" w14:textId="77777777" w:rsidR="006B6973" w:rsidRPr="006B6973" w:rsidRDefault="006B6973" w:rsidP="00046C7A">
      <w:pPr>
        <w:jc w:val="center"/>
        <w:rPr>
          <w:sz w:val="2"/>
          <w:szCs w:val="2"/>
          <w:u w:val="single"/>
        </w:rPr>
      </w:pPr>
    </w:p>
    <w:p w14:paraId="41B60508" w14:textId="1B4BECCB" w:rsidR="0094684A" w:rsidRPr="0094684A" w:rsidRDefault="00046C7A" w:rsidP="0094684A">
      <w:pPr>
        <w:rPr>
          <w:sz w:val="28"/>
          <w:szCs w:val="28"/>
        </w:rPr>
      </w:pPr>
      <w:r w:rsidRPr="00D975D4">
        <w:rPr>
          <w:b/>
          <w:bCs/>
          <w:sz w:val="28"/>
          <w:szCs w:val="28"/>
        </w:rPr>
        <w:t>Ausschuss für</w:t>
      </w:r>
      <w:r w:rsidR="00F55EFE">
        <w:rPr>
          <w:b/>
          <w:bCs/>
          <w:sz w:val="28"/>
          <w:szCs w:val="28"/>
        </w:rPr>
        <w:t xml:space="preserve"> Wirtschaft und Währung</w:t>
      </w:r>
      <w:r w:rsidR="008B0C5F" w:rsidRPr="00D975D4">
        <w:rPr>
          <w:b/>
          <w:bCs/>
          <w:sz w:val="28"/>
          <w:szCs w:val="28"/>
        </w:rPr>
        <w:t xml:space="preserve"> (</w:t>
      </w:r>
      <w:r w:rsidR="00F55EFE">
        <w:rPr>
          <w:b/>
          <w:bCs/>
          <w:sz w:val="28"/>
          <w:szCs w:val="28"/>
        </w:rPr>
        <w:t>ECON</w:t>
      </w:r>
      <w:r w:rsidR="008B0C5F" w:rsidRPr="00D975D4">
        <w:rPr>
          <w:b/>
          <w:bCs/>
          <w:sz w:val="28"/>
          <w:szCs w:val="28"/>
        </w:rPr>
        <w:t>)</w:t>
      </w:r>
      <w:r w:rsidR="006B3460" w:rsidRPr="00D975D4">
        <w:rPr>
          <w:b/>
          <w:bCs/>
          <w:sz w:val="28"/>
          <w:szCs w:val="28"/>
        </w:rPr>
        <w:t xml:space="preserve"> </w:t>
      </w:r>
      <w:r w:rsidR="00B66556">
        <w:rPr>
          <w:b/>
          <w:bCs/>
          <w:color w:val="FF0000"/>
          <w:sz w:val="28"/>
          <w:szCs w:val="28"/>
        </w:rPr>
        <w:br/>
      </w:r>
      <w:r w:rsidRPr="00D975D4">
        <w:rPr>
          <w:sz w:val="28"/>
          <w:szCs w:val="28"/>
        </w:rPr>
        <w:t xml:space="preserve">Ausschussvorsitz: </w:t>
      </w:r>
      <w:r w:rsidR="00F55EFE" w:rsidRPr="00F55EFE">
        <w:rPr>
          <w:sz w:val="28"/>
          <w:szCs w:val="28"/>
        </w:rPr>
        <w:t>Jakob Hagmann (Stuttgart) und Lennard Pein (Bremen)</w:t>
      </w:r>
    </w:p>
    <w:p w14:paraId="5963A064" w14:textId="638290C6" w:rsidR="00F55EFE" w:rsidRPr="00F55EFE" w:rsidRDefault="00F55EFE" w:rsidP="00F55EFE">
      <w:pPr>
        <w:spacing w:after="120"/>
        <w:rPr>
          <w:sz w:val="24"/>
          <w:szCs w:val="24"/>
        </w:rPr>
      </w:pPr>
      <w:r w:rsidRPr="00F55EFE">
        <w:rPr>
          <w:b/>
          <w:sz w:val="24"/>
          <w:szCs w:val="24"/>
        </w:rPr>
        <w:t>Die Frage nach der Kontrolle von global agierenden Konzernen:</w:t>
      </w:r>
      <w:r w:rsidR="00046C7A" w:rsidRPr="00D975D4">
        <w:rPr>
          <w:b/>
          <w:bCs/>
          <w:sz w:val="24"/>
          <w:szCs w:val="24"/>
        </w:rPr>
        <w:br/>
      </w:r>
      <w:r w:rsidRPr="00F55EFE">
        <w:rPr>
          <w:sz w:val="24"/>
          <w:szCs w:val="24"/>
        </w:rPr>
        <w:t>In den letzten Jahrzehnten haben sich durch eine zunehmende Vernetzung global agierende Konzerne gebildet, eine Entwicklung, die sich mit fortschreitender Globalisierung und Digitalisierung voraussichtlich verstärken wird.</w:t>
      </w:r>
      <w:r>
        <w:rPr>
          <w:sz w:val="24"/>
          <w:szCs w:val="24"/>
        </w:rPr>
        <w:br/>
      </w:r>
      <w:r w:rsidRPr="00F55EFE">
        <w:rPr>
          <w:sz w:val="24"/>
          <w:szCs w:val="24"/>
        </w:rPr>
        <w:t xml:space="preserve">Was kann die EU tun, um sicherzustellen, dass multinationale und im Ausland ansässige Konzerne die </w:t>
      </w:r>
      <w:r w:rsidR="00F74082">
        <w:rPr>
          <w:sz w:val="24"/>
          <w:szCs w:val="24"/>
        </w:rPr>
        <w:t>e</w:t>
      </w:r>
      <w:r w:rsidRPr="00F55EFE">
        <w:rPr>
          <w:sz w:val="24"/>
          <w:szCs w:val="24"/>
        </w:rPr>
        <w:t>uropäischen Werte im Internet beachten? Wie kann die EU eine angemessene Besteuerung und die Einhaltung der Rechte von EU-</w:t>
      </w:r>
      <w:proofErr w:type="gramStart"/>
      <w:r w:rsidRPr="00F55EFE">
        <w:rPr>
          <w:sz w:val="24"/>
          <w:szCs w:val="24"/>
        </w:rPr>
        <w:t>Bürger</w:t>
      </w:r>
      <w:r>
        <w:rPr>
          <w:sz w:val="24"/>
          <w:szCs w:val="24"/>
        </w:rPr>
        <w:t>:innen</w:t>
      </w:r>
      <w:proofErr w:type="gramEnd"/>
      <w:r w:rsidRPr="00F55EFE">
        <w:rPr>
          <w:sz w:val="24"/>
          <w:szCs w:val="24"/>
        </w:rPr>
        <w:t xml:space="preserve"> wie dem Datenschutz und der politischen und informationellen Selbstbestimmung garantieren?</w:t>
      </w:r>
    </w:p>
    <w:p w14:paraId="3E1E9448" w14:textId="5E0CFBDC" w:rsidR="00C85F28" w:rsidRDefault="00C85F28" w:rsidP="00F55EFE">
      <w:pPr>
        <w:spacing w:after="120"/>
        <w:rPr>
          <w:rFonts w:cstheme="minorHAnsi"/>
          <w:b/>
          <w:bCs/>
          <w:color w:val="000000"/>
          <w:u w:val="single"/>
        </w:rPr>
      </w:pPr>
    </w:p>
    <w:p w14:paraId="5B1B2E0A" w14:textId="09FCB0FD" w:rsidR="00D975D4" w:rsidRDefault="00860C20" w:rsidP="00D975D4">
      <w:pPr>
        <w:pStyle w:val="Standard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D975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Recherchehinweise:</w:t>
      </w:r>
    </w:p>
    <w:p w14:paraId="7B83E028" w14:textId="77777777" w:rsidR="00F55EFE" w:rsidRPr="00F55EFE" w:rsidRDefault="00F55EFE" w:rsidP="00E673BA">
      <w:pPr>
        <w:pStyle w:val="Listenabsatz"/>
        <w:numPr>
          <w:ilvl w:val="0"/>
          <w:numId w:val="9"/>
        </w:numPr>
        <w:spacing w:before="240" w:after="0" w:line="276" w:lineRule="auto"/>
        <w:ind w:left="709" w:hanging="283"/>
      </w:pPr>
      <w:r w:rsidRPr="00F55EFE">
        <w:t>Besteuerung von internationalen Konzernen</w:t>
      </w:r>
    </w:p>
    <w:p w14:paraId="0D3B6867" w14:textId="77777777" w:rsidR="00F55EFE" w:rsidRPr="00F55EFE" w:rsidRDefault="00F55EFE" w:rsidP="00E673BA">
      <w:pPr>
        <w:pStyle w:val="Listenabsatz"/>
        <w:numPr>
          <w:ilvl w:val="0"/>
          <w:numId w:val="9"/>
        </w:numPr>
        <w:spacing w:after="0" w:line="276" w:lineRule="auto"/>
        <w:ind w:left="709" w:hanging="283"/>
      </w:pPr>
      <w:r w:rsidRPr="00F55EFE">
        <w:t>Politische und Informationelle Selbstbestimmung (Filter Bubbles)</w:t>
      </w:r>
    </w:p>
    <w:p w14:paraId="3B20F349" w14:textId="77777777" w:rsidR="00F55EFE" w:rsidRPr="00F55EFE" w:rsidRDefault="00F55EFE" w:rsidP="00E673BA">
      <w:pPr>
        <w:pStyle w:val="Listenabsatz"/>
        <w:numPr>
          <w:ilvl w:val="0"/>
          <w:numId w:val="9"/>
        </w:numPr>
        <w:spacing w:after="0" w:line="276" w:lineRule="auto"/>
        <w:ind w:left="709" w:hanging="283"/>
      </w:pPr>
      <w:r w:rsidRPr="00F55EFE">
        <w:t>Datenschutz, bzw. die Datenschutzgrundverordnung und mögliche Verbesserungen</w:t>
      </w:r>
    </w:p>
    <w:p w14:paraId="7A221660" w14:textId="77777777" w:rsidR="00F55EFE" w:rsidRPr="00F55EFE" w:rsidRDefault="00F55EFE" w:rsidP="00E673BA">
      <w:pPr>
        <w:pStyle w:val="Listenabsatz"/>
        <w:numPr>
          <w:ilvl w:val="0"/>
          <w:numId w:val="9"/>
        </w:numPr>
        <w:spacing w:after="360" w:line="276" w:lineRule="auto"/>
        <w:ind w:left="709" w:hanging="283"/>
      </w:pPr>
      <w:r w:rsidRPr="00F55EFE">
        <w:t>Probleme der in verschiedenen Ländern ansässigen Unternehmen und möglichem Einfluss von ausländischen Regierungen</w:t>
      </w:r>
    </w:p>
    <w:p w14:paraId="5D27ECEB" w14:textId="77777777" w:rsidR="0053544A" w:rsidRDefault="0053544A" w:rsidP="0053544A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BDB6E03" w14:textId="2E71C1E3" w:rsidR="008B0C5F" w:rsidRPr="0053544A" w:rsidRDefault="008B0C5F" w:rsidP="0053544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3544A">
        <w:rPr>
          <w:rFonts w:asciiTheme="minorHAnsi" w:hAnsiTheme="minorHAnsi" w:cstheme="minorHAnsi"/>
          <w:b/>
          <w:bCs/>
          <w:sz w:val="22"/>
          <w:szCs w:val="22"/>
          <w:u w:val="single"/>
        </w:rPr>
        <w:t>Links:</w:t>
      </w:r>
    </w:p>
    <w:p w14:paraId="53E2DD2A" w14:textId="4D07B81A" w:rsidR="00F74082" w:rsidRPr="00A57B6A" w:rsidRDefault="00F74082" w:rsidP="00F74082">
      <w:pPr>
        <w:numPr>
          <w:ilvl w:val="0"/>
          <w:numId w:val="8"/>
        </w:numPr>
        <w:spacing w:before="240" w:after="0" w:line="276" w:lineRule="auto"/>
      </w:pPr>
      <w:r w:rsidRPr="00A57B6A">
        <w:t>Besteuerung von internationalen Konzernen:</w:t>
      </w:r>
    </w:p>
    <w:p w14:paraId="414B6508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6" w:history="1">
        <w:r w:rsidR="00F74082" w:rsidRPr="00A57B6A">
          <w:rPr>
            <w:rStyle w:val="Hyperlink"/>
            <w:color w:val="1155CC"/>
          </w:rPr>
          <w:t>https://www.youtube.com/watch?v=AkwvbdnIy4I</w:t>
        </w:r>
      </w:hyperlink>
    </w:p>
    <w:p w14:paraId="046FB668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7" w:history="1">
        <w:r w:rsidR="00F74082" w:rsidRPr="00A57B6A">
          <w:rPr>
            <w:rStyle w:val="Hyperlink"/>
            <w:color w:val="1155CC"/>
          </w:rPr>
          <w:t>https://blog.wdr.de/digitalistan/digitalsteuer-google-laesst-sie-einfach-uns-zahlen/</w:t>
        </w:r>
      </w:hyperlink>
    </w:p>
    <w:p w14:paraId="4CB566BB" w14:textId="77777777" w:rsidR="00F74082" w:rsidRPr="00A57B6A" w:rsidRDefault="00F74082" w:rsidP="00F74082">
      <w:pPr>
        <w:numPr>
          <w:ilvl w:val="0"/>
          <w:numId w:val="8"/>
        </w:numPr>
        <w:spacing w:after="0" w:line="276" w:lineRule="auto"/>
      </w:pPr>
      <w:r w:rsidRPr="00A57B6A">
        <w:t xml:space="preserve">Politische und Informationelle Selbstbestimmung (Filter Bubbles): </w:t>
      </w:r>
    </w:p>
    <w:p w14:paraId="6633018D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8" w:history="1">
        <w:r w:rsidR="00F74082" w:rsidRPr="00A57B6A">
          <w:rPr>
            <w:rStyle w:val="Hyperlink"/>
            <w:color w:val="1155CC"/>
          </w:rPr>
          <w:t>https://www.dni.gov/files/ODNI/documents/assessments/ICA-declass-16MAR21.pdf</w:t>
        </w:r>
      </w:hyperlink>
      <w:r w:rsidR="00F74082" w:rsidRPr="00A57B6A">
        <w:t xml:space="preserve"> </w:t>
      </w:r>
    </w:p>
    <w:p w14:paraId="4DCF7475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9" w:history="1">
        <w:r w:rsidR="00F74082" w:rsidRPr="00A57B6A">
          <w:rPr>
            <w:rStyle w:val="Hyperlink"/>
            <w:color w:val="1155CC"/>
          </w:rPr>
          <w:t>https://www.bmbf.de/de/soziale-medien-eine-gefahr-fuer-die-demokratie-8606.html</w:t>
        </w:r>
      </w:hyperlink>
    </w:p>
    <w:p w14:paraId="2AB39E79" w14:textId="77777777" w:rsidR="00F74082" w:rsidRPr="00A57B6A" w:rsidRDefault="00F74082" w:rsidP="00F74082">
      <w:pPr>
        <w:numPr>
          <w:ilvl w:val="0"/>
          <w:numId w:val="8"/>
        </w:numPr>
        <w:spacing w:after="0" w:line="276" w:lineRule="auto"/>
      </w:pPr>
      <w:r w:rsidRPr="00A57B6A">
        <w:t>Datenschutz, bzw. die Datenschutzgrundverordnung und mögliche Verbesserungen:</w:t>
      </w:r>
    </w:p>
    <w:p w14:paraId="47D345FF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10" w:history="1">
        <w:r w:rsidR="00F74082" w:rsidRPr="00A57B6A">
          <w:rPr>
            <w:rStyle w:val="Hyperlink"/>
            <w:color w:val="1155CC"/>
          </w:rPr>
          <w:t>https://www.bmwi.de/Redaktion/DE/Artikel/Digitale-Welt/europaeische-datenschutzgrundverordnung.html</w:t>
        </w:r>
      </w:hyperlink>
    </w:p>
    <w:p w14:paraId="0F3130C4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11" w:history="1">
        <w:r w:rsidR="00F74082" w:rsidRPr="00A57B6A">
          <w:rPr>
            <w:rStyle w:val="Hyperlink"/>
            <w:color w:val="1155CC"/>
          </w:rPr>
          <w:t>https://www.deutschlandfunkkultur.de/personenbezogene-daten-als-rohstoff-und-handelsware.976.de.html?dram:article_id=409553</w:t>
        </w:r>
      </w:hyperlink>
    </w:p>
    <w:p w14:paraId="6D287C9B" w14:textId="3840997C" w:rsidR="00F74082" w:rsidRPr="00A57B6A" w:rsidRDefault="00F74082" w:rsidP="00F74082">
      <w:pPr>
        <w:numPr>
          <w:ilvl w:val="0"/>
          <w:numId w:val="8"/>
        </w:numPr>
        <w:spacing w:after="0" w:line="276" w:lineRule="auto"/>
      </w:pPr>
      <w:r w:rsidRPr="00A57B6A">
        <w:t xml:space="preserve">Probleme der in verschiedenen Ländern ansässigen Unternehmen und möglichem </w:t>
      </w:r>
      <w:r w:rsidR="00263936" w:rsidRPr="00A57B6A">
        <w:t>Einfluss</w:t>
      </w:r>
      <w:r w:rsidRPr="00A57B6A">
        <w:t xml:space="preserve"> von ausländischen Regierungen</w:t>
      </w:r>
    </w:p>
    <w:p w14:paraId="4541495C" w14:textId="77777777" w:rsidR="00F74082" w:rsidRPr="00A57B6A" w:rsidRDefault="00ED13EF" w:rsidP="00F74082">
      <w:pPr>
        <w:numPr>
          <w:ilvl w:val="1"/>
          <w:numId w:val="8"/>
        </w:numPr>
        <w:spacing w:after="0" w:line="276" w:lineRule="auto"/>
      </w:pPr>
      <w:hyperlink r:id="rId12" w:history="1">
        <w:r w:rsidR="00F74082" w:rsidRPr="00A57B6A">
          <w:rPr>
            <w:rStyle w:val="Hyperlink"/>
            <w:color w:val="1155CC"/>
          </w:rPr>
          <w:t>https://www.wiwo.de/finanzen/boerse/investieren-in-china-auch-europaeische-konzerne-koennten-profitieren/25910752.html</w:t>
        </w:r>
      </w:hyperlink>
    </w:p>
    <w:p w14:paraId="74A81C6B" w14:textId="77777777" w:rsidR="00F74082" w:rsidRPr="00A57B6A" w:rsidRDefault="00F74082" w:rsidP="00F74082">
      <w:pPr>
        <w:numPr>
          <w:ilvl w:val="1"/>
          <w:numId w:val="8"/>
        </w:numPr>
        <w:spacing w:after="360" w:line="276" w:lineRule="auto"/>
        <w:rPr>
          <w:color w:val="1155CC"/>
        </w:rPr>
      </w:pPr>
      <w:r w:rsidRPr="00A57B6A">
        <w:rPr>
          <w:color w:val="1155CC"/>
          <w:u w:val="single"/>
        </w:rPr>
        <w:t>https://www.tagesschau.de/wirtschaft/huawei-china-101.html</w:t>
      </w:r>
    </w:p>
    <w:p w14:paraId="06D5343F" w14:textId="4391CAEB" w:rsidR="006B04D5" w:rsidRDefault="006B04D5" w:rsidP="00C85F28">
      <w:pPr>
        <w:pStyle w:val="Listenabsatz"/>
        <w:spacing w:after="0"/>
        <w:rPr>
          <w:sz w:val="24"/>
          <w:szCs w:val="24"/>
        </w:rPr>
      </w:pPr>
    </w:p>
    <w:p w14:paraId="398779A3" w14:textId="77777777" w:rsidR="006B04D5" w:rsidRPr="006B04D5" w:rsidRDefault="006B04D5" w:rsidP="006B04D5">
      <w:pPr>
        <w:pStyle w:val="Listenabsatz"/>
        <w:rPr>
          <w:sz w:val="24"/>
          <w:szCs w:val="24"/>
        </w:rPr>
      </w:pPr>
    </w:p>
    <w:p w14:paraId="452171C8" w14:textId="632F5018" w:rsidR="006B6973" w:rsidRPr="006B6973" w:rsidRDefault="006B6973" w:rsidP="006B6973">
      <w:pPr>
        <w:pStyle w:val="Listenabsatz"/>
        <w:rPr>
          <w:sz w:val="24"/>
          <w:szCs w:val="24"/>
        </w:rPr>
      </w:pPr>
    </w:p>
    <w:p w14:paraId="7B4EFC55" w14:textId="77777777" w:rsidR="00A70B11" w:rsidRPr="00A70B11" w:rsidRDefault="00A70B11" w:rsidP="00A70B11">
      <w:pPr>
        <w:pStyle w:val="Listenabsatz"/>
        <w:rPr>
          <w:sz w:val="24"/>
          <w:szCs w:val="24"/>
        </w:rPr>
      </w:pPr>
    </w:p>
    <w:p w14:paraId="0165989B" w14:textId="404CD869" w:rsidR="00A70B11" w:rsidRDefault="00A70B11" w:rsidP="006B69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Recherchehinweise und Links</w:t>
      </w:r>
      <w:r w:rsidR="0053544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sind als Einstieg für die Vorbereitung zu sehen. Sie beinhalten </w:t>
      </w:r>
      <w:r w:rsidR="00A57B6A">
        <w:rPr>
          <w:i/>
          <w:iCs/>
          <w:sz w:val="24"/>
          <w:szCs w:val="24"/>
        </w:rPr>
        <w:t>essenzielles</w:t>
      </w:r>
      <w:r>
        <w:rPr>
          <w:i/>
          <w:iCs/>
          <w:sz w:val="24"/>
          <w:szCs w:val="24"/>
        </w:rPr>
        <w:t xml:space="preserve"> Grundwissen zum Verständnis des Themas und zum Verfassen der Resolution. Weiterführende Recherche ist absolut notwendig.</w:t>
      </w:r>
    </w:p>
    <w:p w14:paraId="2169C9BC" w14:textId="77777777" w:rsidR="006B6973" w:rsidRDefault="006B6973" w:rsidP="006B6973">
      <w:pPr>
        <w:rPr>
          <w:rFonts w:cstheme="minorHAnsi"/>
          <w:i/>
          <w:sz w:val="24"/>
          <w:szCs w:val="24"/>
        </w:rPr>
      </w:pPr>
    </w:p>
    <w:p w14:paraId="726CE61E" w14:textId="63B29014" w:rsidR="006B6973" w:rsidRPr="00BD660C" w:rsidRDefault="006B6973" w:rsidP="006B6973">
      <w:pPr>
        <w:ind w:right="-828"/>
        <w:jc w:val="center"/>
      </w:pPr>
      <w:bookmarkStart w:id="0" w:name="_Hlk32411376"/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 w:rsidR="00C42876">
        <w:fldChar w:fldCharType="begin"/>
      </w:r>
      <w:r w:rsidR="00C42876">
        <w:instrText xml:space="preserve"> INCLUDEPICTURE  "http://tdm2000.pl/wp-content/uploads/2014/09/128156_Logo_Erasmus___60ko.jpg" \* MERGEFORMATINET </w:instrText>
      </w:r>
      <w:r w:rsidR="00C42876">
        <w:fldChar w:fldCharType="separate"/>
      </w:r>
      <w:r w:rsidR="0053544A">
        <w:fldChar w:fldCharType="begin"/>
      </w:r>
      <w:r w:rsidR="0053544A">
        <w:instrText xml:space="preserve"> INCLUDEPICTURE  "http://tdm2000.pl/wp-content/uploads/2014/09/128156_Logo_Erasmus___60ko.jpg" \* MERGEFORMATINET </w:instrText>
      </w:r>
      <w:r w:rsidR="0053544A">
        <w:fldChar w:fldCharType="separate"/>
      </w:r>
      <w:r w:rsidR="0084117D">
        <w:fldChar w:fldCharType="begin"/>
      </w:r>
      <w:r w:rsidR="0084117D">
        <w:instrText xml:space="preserve"> INCLUDEPICTURE  "http://tdm2000.pl/wp-content/uploads/2014/09/128156_Logo_Erasmus___60ko.jpg" \* MERGEFORMATINET </w:instrText>
      </w:r>
      <w:r w:rsidR="0084117D">
        <w:fldChar w:fldCharType="separate"/>
      </w:r>
      <w:r w:rsidR="00960817">
        <w:fldChar w:fldCharType="begin"/>
      </w:r>
      <w:r w:rsidR="00960817">
        <w:instrText xml:space="preserve"> INCLUDEPICTURE  "http://tdm2000.pl/wp-content/uploads/2014/09/128156_Logo_Erasmus___60ko.jpg" \* MERGEFORMATINET </w:instrText>
      </w:r>
      <w:r w:rsidR="00960817">
        <w:fldChar w:fldCharType="separate"/>
      </w:r>
      <w:r w:rsidR="00F74082">
        <w:fldChar w:fldCharType="begin"/>
      </w:r>
      <w:r w:rsidR="00F74082">
        <w:instrText xml:space="preserve"> INCLUDEPICTURE  "http://tdm2000.pl/wp-content/uploads/2014/09/128156_Logo_Erasmus___60ko.jpg" \* MERGEFORMATINET </w:instrText>
      </w:r>
      <w:r w:rsidR="00F74082">
        <w:fldChar w:fldCharType="separate"/>
      </w:r>
      <w:r w:rsidR="00E673BA">
        <w:fldChar w:fldCharType="begin"/>
      </w:r>
      <w:r w:rsidR="00E673BA">
        <w:instrText xml:space="preserve"> INCLUDEPICTURE  "http://tdm2000.pl/wp-content/uploads/2014/09/128156_Logo_Erasmus___60ko.jpg" \* MERGEFORMATINET </w:instrText>
      </w:r>
      <w:r w:rsidR="00E673BA">
        <w:fldChar w:fldCharType="separate"/>
      </w:r>
      <w:r w:rsidR="00B66556">
        <w:fldChar w:fldCharType="begin"/>
      </w:r>
      <w:r w:rsidR="00B66556">
        <w:instrText xml:space="preserve"> INCLUDEPICTURE  "http://tdm2000.pl/wp-content/uploads/2014/09/128156_Logo_Erasmus___60ko.jpg" \* MERGEFORMATINET </w:instrText>
      </w:r>
      <w:r w:rsidR="00B66556">
        <w:fldChar w:fldCharType="separate"/>
      </w:r>
      <w:r w:rsidR="00A57B6A">
        <w:fldChar w:fldCharType="begin"/>
      </w:r>
      <w:r w:rsidR="00A57B6A">
        <w:instrText xml:space="preserve"> INCLUDEPICTURE  "http://tdm2000.pl/wp-content/uploads/2014/09/128156_Logo_Erasmus___60ko.jpg" \* MERGEFORMATINET </w:instrText>
      </w:r>
      <w:r w:rsidR="00A57B6A">
        <w:fldChar w:fldCharType="separate"/>
      </w:r>
      <w:r w:rsidR="00263936">
        <w:fldChar w:fldCharType="begin"/>
      </w:r>
      <w:r w:rsidR="00263936">
        <w:instrText xml:space="preserve"> INCLUDEPICTURE  "http://tdm2000.pl/wp-content/uploads/2014/09/128156_Logo_Erasmus___60ko.jpg" \* MERGEFORMATINET </w:instrText>
      </w:r>
      <w:r w:rsidR="00263936">
        <w:fldChar w:fldCharType="separate"/>
      </w:r>
      <w:r w:rsidR="00ED13EF">
        <w:fldChar w:fldCharType="begin"/>
      </w:r>
      <w:r w:rsidR="00ED13EF">
        <w:instrText xml:space="preserve"> </w:instrText>
      </w:r>
      <w:r w:rsidR="00ED13EF">
        <w:instrText>INCLUDEPICTURE  "http://t</w:instrText>
      </w:r>
      <w:r w:rsidR="00ED13EF">
        <w:instrText>dm2000.pl/wp-content/uploads/2014/09/128156_Logo_Erasmus___60ko.jpg" \* MERGEFORMATINET</w:instrText>
      </w:r>
      <w:r w:rsidR="00ED13EF">
        <w:instrText xml:space="preserve"> </w:instrText>
      </w:r>
      <w:r w:rsidR="00ED13EF">
        <w:fldChar w:fldCharType="separate"/>
      </w:r>
      <w:r w:rsidR="00ED13EF">
        <w:pict w14:anchorId="3428406A">
          <v:shape id="_x0000_i1027" type="#_x0000_t75" style="width:221.25pt;height:61.5pt">
            <v:imagedata r:id="rId13" r:href="rId14"/>
          </v:shape>
        </w:pict>
      </w:r>
      <w:r w:rsidR="00ED13EF">
        <w:fldChar w:fldCharType="end"/>
      </w:r>
      <w:r w:rsidR="00263936">
        <w:fldChar w:fldCharType="end"/>
      </w:r>
      <w:r w:rsidR="00A57B6A">
        <w:fldChar w:fldCharType="end"/>
      </w:r>
      <w:r w:rsidR="00B66556">
        <w:fldChar w:fldCharType="end"/>
      </w:r>
      <w:r w:rsidR="00E673BA">
        <w:fldChar w:fldCharType="end"/>
      </w:r>
      <w:r w:rsidR="00F74082">
        <w:fldChar w:fldCharType="end"/>
      </w:r>
      <w:r w:rsidR="00960817">
        <w:fldChar w:fldCharType="end"/>
      </w:r>
      <w:r w:rsidR="0084117D">
        <w:fldChar w:fldCharType="end"/>
      </w:r>
      <w:r w:rsidR="0053544A">
        <w:fldChar w:fldCharType="end"/>
      </w:r>
      <w:r w:rsidR="00C42876">
        <w:fldChar w:fldCharType="end"/>
      </w:r>
      <w:r>
        <w:fldChar w:fldCharType="end"/>
      </w:r>
      <w:r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 w:rsidR="00C42876">
        <w:fldChar w:fldCharType="begin"/>
      </w:r>
      <w:r w:rsidR="00C42876">
        <w:instrText xml:space="preserve"> INCLUDEPICTURE  "https://mitwirkung.dbjr.de/wp-content/uploads/2018/08/YGLogoGeneral-640x420.png" \* MERGEFORMATINET </w:instrText>
      </w:r>
      <w:r w:rsidR="00C42876">
        <w:fldChar w:fldCharType="separate"/>
      </w:r>
      <w:r w:rsidR="0053544A">
        <w:fldChar w:fldCharType="begin"/>
      </w:r>
      <w:r w:rsidR="0053544A">
        <w:instrText xml:space="preserve"> INCLUDEPICTURE  "https://mitwirkung.dbjr.de/wp-content/uploads/2018/08/YGLogoGeneral-640x420.png" \* MERGEFORMATINET </w:instrText>
      </w:r>
      <w:r w:rsidR="0053544A">
        <w:fldChar w:fldCharType="separate"/>
      </w:r>
      <w:r w:rsidR="0084117D">
        <w:fldChar w:fldCharType="begin"/>
      </w:r>
      <w:r w:rsidR="0084117D">
        <w:instrText xml:space="preserve"> INCLUDEPICTURE  "https://mitwirkung.dbjr.de/wp-content/uploads/2018/08/YGLogoGeneral-640x420.png" \* MERGEFORMATINET </w:instrText>
      </w:r>
      <w:r w:rsidR="0084117D">
        <w:fldChar w:fldCharType="separate"/>
      </w:r>
      <w:r w:rsidR="00960817">
        <w:fldChar w:fldCharType="begin"/>
      </w:r>
      <w:r w:rsidR="00960817">
        <w:instrText xml:space="preserve"> INCLUDEPICTURE  "https://mitwirkung.dbjr.de/wp-content/uploads/2018/08/YGLogoGeneral-640x420.png" \* MERGEFORMATINET </w:instrText>
      </w:r>
      <w:r w:rsidR="00960817">
        <w:fldChar w:fldCharType="separate"/>
      </w:r>
      <w:r w:rsidR="00F74082">
        <w:fldChar w:fldCharType="begin"/>
      </w:r>
      <w:r w:rsidR="00F74082">
        <w:instrText xml:space="preserve"> INCLUDEPICTURE  "https://mitwirkung.dbjr.de/wp-content/uploads/2018/08/YGLogoGeneral-640x420.png" \* MERGEFORMATINET </w:instrText>
      </w:r>
      <w:r w:rsidR="00F74082">
        <w:fldChar w:fldCharType="separate"/>
      </w:r>
      <w:r w:rsidR="00E673BA">
        <w:fldChar w:fldCharType="begin"/>
      </w:r>
      <w:r w:rsidR="00E673BA">
        <w:instrText xml:space="preserve"> INCLUDEPICTURE  "https://mitwirkung.dbjr.de/wp-content/uploads/2018/08/YGLogoGeneral-640x420.png" \* MERGEFORMATINET </w:instrText>
      </w:r>
      <w:r w:rsidR="00E673BA">
        <w:fldChar w:fldCharType="separate"/>
      </w:r>
      <w:r w:rsidR="00B66556">
        <w:fldChar w:fldCharType="begin"/>
      </w:r>
      <w:r w:rsidR="00B66556">
        <w:instrText xml:space="preserve"> INCLUDEPICTURE  "https://mitwirkung.dbjr.de/wp-content/uploads/2018/08/YGLogoGeneral-640x420.png" \* MERGEFORMATINET </w:instrText>
      </w:r>
      <w:r w:rsidR="00B66556">
        <w:fldChar w:fldCharType="separate"/>
      </w:r>
      <w:r w:rsidR="00A57B6A">
        <w:fldChar w:fldCharType="begin"/>
      </w:r>
      <w:r w:rsidR="00A57B6A">
        <w:instrText xml:space="preserve"> INCLUDEPICTURE  "https://mitwirkung.dbjr.de/wp-content/uploads/2018/08/YGLogoGeneral-640x420.png" \* MERGEFORMATINET </w:instrText>
      </w:r>
      <w:r w:rsidR="00A57B6A">
        <w:fldChar w:fldCharType="separate"/>
      </w:r>
      <w:r w:rsidR="00263936">
        <w:fldChar w:fldCharType="begin"/>
      </w:r>
      <w:r w:rsidR="00263936">
        <w:instrText xml:space="preserve"> INCLUDEPICTURE  "https://mitwirkung.dbjr.de/wp-content/uploads/2018/08/YGLogoGeneral-640x420.png" \* MERGEFORMATINET </w:instrText>
      </w:r>
      <w:r w:rsidR="00263936">
        <w:fldChar w:fldCharType="separate"/>
      </w:r>
      <w:r w:rsidR="00ED13EF">
        <w:fldChar w:fldCharType="begin"/>
      </w:r>
      <w:r w:rsidR="00ED13EF">
        <w:instrText xml:space="preserve"> </w:instrText>
      </w:r>
      <w:r w:rsidR="00ED13EF">
        <w:instrText>INCLUDEPICTURE  "https://mitwirkung.dbjr.de/wp-content/uploads/2018/08/YGLogoGeneral-640x420.png" \* MERGEFORMATINET</w:instrText>
      </w:r>
      <w:r w:rsidR="00ED13EF">
        <w:instrText xml:space="preserve"> </w:instrText>
      </w:r>
      <w:r w:rsidR="00ED13EF">
        <w:fldChar w:fldCharType="separate"/>
      </w:r>
      <w:r w:rsidR="00ED13EF">
        <w:pict w14:anchorId="073BEFC3">
          <v:shape id="_x0000_i1028" type="#_x0000_t75" alt="Bildergebnis für YOuthgoals" style="width:113.25pt;height:77.25pt">
            <v:imagedata r:id="rId15" r:href="rId16"/>
          </v:shape>
        </w:pict>
      </w:r>
      <w:r w:rsidR="00ED13EF">
        <w:fldChar w:fldCharType="end"/>
      </w:r>
      <w:r w:rsidR="00263936">
        <w:fldChar w:fldCharType="end"/>
      </w:r>
      <w:r w:rsidR="00A57B6A">
        <w:fldChar w:fldCharType="end"/>
      </w:r>
      <w:r w:rsidR="00B66556">
        <w:fldChar w:fldCharType="end"/>
      </w:r>
      <w:r w:rsidR="00E673BA">
        <w:fldChar w:fldCharType="end"/>
      </w:r>
      <w:r w:rsidR="00F74082">
        <w:fldChar w:fldCharType="end"/>
      </w:r>
      <w:r w:rsidR="00960817">
        <w:fldChar w:fldCharType="end"/>
      </w:r>
      <w:r w:rsidR="0084117D">
        <w:fldChar w:fldCharType="end"/>
      </w:r>
      <w:r w:rsidR="0053544A">
        <w:fldChar w:fldCharType="end"/>
      </w:r>
      <w:r w:rsidR="00C42876">
        <w:fldChar w:fldCharType="end"/>
      </w:r>
      <w:r>
        <w:fldChar w:fldCharType="end"/>
      </w:r>
      <w:r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56C50F46" wp14:editId="60E7CC5D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3798071E" wp14:editId="5E55E2FD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1FF1DCA1" wp14:editId="1CA9C25D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408E53A" w14:textId="77777777" w:rsidR="006B6973" w:rsidRPr="006B6973" w:rsidRDefault="006B6973" w:rsidP="006B6973">
      <w:pPr>
        <w:rPr>
          <w:i/>
          <w:iCs/>
          <w:sz w:val="24"/>
          <w:szCs w:val="24"/>
        </w:rPr>
      </w:pPr>
    </w:p>
    <w:sectPr w:rsidR="006B6973" w:rsidRPr="006B6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35F7"/>
      </v:shape>
    </w:pict>
  </w:numPicBullet>
  <w:abstractNum w:abstractNumId="0" w15:restartNumberingAfterBreak="0">
    <w:nsid w:val="06EB0ED6"/>
    <w:multiLevelType w:val="hybridMultilevel"/>
    <w:tmpl w:val="B87889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411A"/>
    <w:multiLevelType w:val="hybridMultilevel"/>
    <w:tmpl w:val="EF4CF534"/>
    <w:lvl w:ilvl="0" w:tplc="2B303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C294C"/>
    <w:multiLevelType w:val="hybridMultilevel"/>
    <w:tmpl w:val="4C860378"/>
    <w:lvl w:ilvl="0" w:tplc="4B72E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17DDF"/>
    <w:multiLevelType w:val="hybridMultilevel"/>
    <w:tmpl w:val="5F5C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402B"/>
    <w:multiLevelType w:val="multilevel"/>
    <w:tmpl w:val="C8F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0489F"/>
    <w:multiLevelType w:val="hybridMultilevel"/>
    <w:tmpl w:val="78829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6FC1"/>
    <w:multiLevelType w:val="hybridMultilevel"/>
    <w:tmpl w:val="09B00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15FC"/>
    <w:multiLevelType w:val="multilevel"/>
    <w:tmpl w:val="116E18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EB837C5"/>
    <w:multiLevelType w:val="multilevel"/>
    <w:tmpl w:val="9B186F4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A"/>
    <w:rsid w:val="00046C7A"/>
    <w:rsid w:val="001848E1"/>
    <w:rsid w:val="002173C3"/>
    <w:rsid w:val="00263936"/>
    <w:rsid w:val="00345937"/>
    <w:rsid w:val="003477EA"/>
    <w:rsid w:val="003C10C2"/>
    <w:rsid w:val="004F6CE3"/>
    <w:rsid w:val="0053544A"/>
    <w:rsid w:val="0060350A"/>
    <w:rsid w:val="006B04D5"/>
    <w:rsid w:val="006B3460"/>
    <w:rsid w:val="006B6973"/>
    <w:rsid w:val="00764556"/>
    <w:rsid w:val="0084117D"/>
    <w:rsid w:val="00857815"/>
    <w:rsid w:val="00860C20"/>
    <w:rsid w:val="008B0C5F"/>
    <w:rsid w:val="0094684A"/>
    <w:rsid w:val="00960817"/>
    <w:rsid w:val="00A57B6A"/>
    <w:rsid w:val="00A70B11"/>
    <w:rsid w:val="00B66556"/>
    <w:rsid w:val="00C42876"/>
    <w:rsid w:val="00C85F28"/>
    <w:rsid w:val="00D975D4"/>
    <w:rsid w:val="00E55C62"/>
    <w:rsid w:val="00E673BA"/>
    <w:rsid w:val="00ED13EF"/>
    <w:rsid w:val="00F55EFE"/>
    <w:rsid w:val="00F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AD9"/>
  <w15:chartTrackingRefBased/>
  <w15:docId w15:val="{4367F927-B06F-4C76-9C0B-0EB6FC7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9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C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5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5781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bn-IN"/>
    </w:rPr>
  </w:style>
  <w:style w:type="character" w:customStyle="1" w:styleId="apple-tab-span">
    <w:name w:val="apple-tab-span"/>
    <w:basedOn w:val="Absatz-Standardschriftart"/>
    <w:rsid w:val="008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i.gov/files/ODNI/documents/assessments/ICA-declass-16MAR21.pd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log.wdr.de/digitalistan/digitalsteuer-google-laesst-sie-einfach-uns-zahlen/" TargetMode="External"/><Relationship Id="rId12" Type="http://schemas.openxmlformats.org/officeDocument/2006/relationships/hyperlink" Target="https://www.wiwo.de/finanzen/boerse/investieren-in-china-auch-europaeische-konzerne-koennten-profitieren/25910752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https://mitwirkung.dbjr.de/wp-content/uploads/2018/08/YGLogoGeneral-640x420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wvbdnIy4I" TargetMode="External"/><Relationship Id="rId11" Type="http://schemas.openxmlformats.org/officeDocument/2006/relationships/hyperlink" Target="https://www.deutschlandfunkkultur.de/personenbezogene-daten-als-rohstoff-und-handelsware.976.de.html?dram:article_id=409553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png"/><Relationship Id="rId10" Type="http://schemas.openxmlformats.org/officeDocument/2006/relationships/hyperlink" Target="https://www.bmwi.de/Redaktion/DE/Artikel/Digitale-Welt/europaeische-datenschutzgrundverordnung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bmbf.de/de/soziale-medien-eine-gefahr-fuer-die-demokratie-8606.html" TargetMode="External"/><Relationship Id="rId14" Type="http://schemas.openxmlformats.org/officeDocument/2006/relationships/image" Target="http://tdm2000.pl/wp-content/uploads/2014/09/128156_Logo_Erasmus___60ko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Lübbe</dc:creator>
  <cp:keywords/>
  <dc:description/>
  <cp:lastModifiedBy>Christopher Lucht</cp:lastModifiedBy>
  <cp:revision>2</cp:revision>
  <dcterms:created xsi:type="dcterms:W3CDTF">2021-06-23T09:02:00Z</dcterms:created>
  <dcterms:modified xsi:type="dcterms:W3CDTF">2021-06-23T09:02:00Z</dcterms:modified>
</cp:coreProperties>
</file>