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48A9" w14:textId="028FC336" w:rsidR="006B6973" w:rsidRDefault="006B6973" w:rsidP="00046C7A">
      <w:pPr>
        <w:jc w:val="center"/>
        <w:rPr>
          <w:sz w:val="28"/>
          <w:szCs w:val="28"/>
          <w:u w:val="single"/>
        </w:rPr>
      </w:pPr>
      <w:r w:rsidRPr="00BD660C">
        <w:rPr>
          <w:noProof/>
        </w:rPr>
        <w:drawing>
          <wp:inline distT="0" distB="0" distL="0" distR="0" wp14:anchorId="5BB62ECD" wp14:editId="772E65AE">
            <wp:extent cx="1402080" cy="1402080"/>
            <wp:effectExtent l="0" t="0" r="7620" b="7620"/>
            <wp:docPr id="2" name="Grafik 2" descr="europa_logo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_logo ne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6040A04B" w14:textId="77777777" w:rsidR="006B6973" w:rsidRPr="006B6973" w:rsidRDefault="006B6973" w:rsidP="00046C7A">
      <w:pPr>
        <w:jc w:val="center"/>
        <w:rPr>
          <w:sz w:val="6"/>
          <w:szCs w:val="6"/>
          <w:u w:val="single"/>
        </w:rPr>
      </w:pPr>
    </w:p>
    <w:p w14:paraId="11941DC3" w14:textId="64AD17DE" w:rsidR="006B6973" w:rsidRPr="00D975D4" w:rsidRDefault="00046C7A" w:rsidP="00046C7A">
      <w:pPr>
        <w:jc w:val="center"/>
        <w:rPr>
          <w:sz w:val="32"/>
          <w:szCs w:val="32"/>
          <w:u w:val="single"/>
        </w:rPr>
      </w:pPr>
      <w:r w:rsidRPr="00D975D4">
        <w:rPr>
          <w:sz w:val="32"/>
          <w:szCs w:val="32"/>
          <w:u w:val="single"/>
        </w:rPr>
        <w:t>MEP.de 202</w:t>
      </w:r>
      <w:r w:rsidR="006B3460" w:rsidRPr="00D975D4">
        <w:rPr>
          <w:sz w:val="32"/>
          <w:szCs w:val="32"/>
          <w:u w:val="single"/>
        </w:rPr>
        <w:t>1</w:t>
      </w:r>
      <w:r w:rsidRPr="00D975D4">
        <w:rPr>
          <w:sz w:val="32"/>
          <w:szCs w:val="32"/>
          <w:u w:val="single"/>
        </w:rPr>
        <w:t>: Ausschüsse</w:t>
      </w:r>
    </w:p>
    <w:p w14:paraId="5461B95C" w14:textId="77777777" w:rsidR="003E53B1" w:rsidRDefault="003E53B1" w:rsidP="003E53B1">
      <w:pPr>
        <w:spacing w:before="120" w:line="254" w:lineRule="auto"/>
        <w:rPr>
          <w:b/>
          <w:sz w:val="24"/>
          <w:szCs w:val="24"/>
        </w:rPr>
      </w:pPr>
    </w:p>
    <w:p w14:paraId="0FEAB5B5" w14:textId="2846120D" w:rsidR="00484746" w:rsidRDefault="005825F0" w:rsidP="00224D29">
      <w:pPr>
        <w:rPr>
          <w:rFonts w:ascii="Calibri" w:hAnsi="Calibri"/>
        </w:rPr>
      </w:pPr>
      <w:r w:rsidRPr="005825F0">
        <w:rPr>
          <w:b/>
          <w:bCs/>
          <w:sz w:val="28"/>
          <w:szCs w:val="28"/>
        </w:rPr>
        <w:t>Ausschusses für auswärtige Angelegenheiten</w:t>
      </w:r>
      <w:r w:rsidRPr="005825F0">
        <w:rPr>
          <w:rFonts w:ascii="Calibri" w:hAnsi="Calibri"/>
          <w:b/>
          <w:bCs/>
          <w:sz w:val="36"/>
          <w:szCs w:val="36"/>
        </w:rPr>
        <w:t xml:space="preserve"> </w:t>
      </w:r>
      <w:r w:rsidR="00484746" w:rsidRPr="00484746">
        <w:rPr>
          <w:rFonts w:ascii="Calibri" w:hAnsi="Calibri"/>
          <w:b/>
          <w:bCs/>
          <w:sz w:val="28"/>
          <w:szCs w:val="28"/>
        </w:rPr>
        <w:t>(</w:t>
      </w:r>
      <w:r>
        <w:rPr>
          <w:rFonts w:ascii="Calibri" w:hAnsi="Calibri"/>
          <w:b/>
          <w:bCs/>
          <w:sz w:val="28"/>
          <w:szCs w:val="28"/>
        </w:rPr>
        <w:t>AFET</w:t>
      </w:r>
      <w:r w:rsidR="00484746" w:rsidRPr="00484746">
        <w:rPr>
          <w:rFonts w:ascii="Calibri" w:hAnsi="Calibri"/>
          <w:b/>
          <w:bCs/>
          <w:sz w:val="28"/>
          <w:szCs w:val="28"/>
        </w:rPr>
        <w:t>)</w:t>
      </w:r>
      <w:r w:rsidR="00484746">
        <w:rPr>
          <w:rFonts w:ascii="Calibri" w:hAnsi="Calibri"/>
          <w:b/>
          <w:bCs/>
        </w:rPr>
        <w:br/>
      </w:r>
      <w:r w:rsidR="00484746" w:rsidRPr="00484746">
        <w:rPr>
          <w:rFonts w:ascii="Calibri" w:hAnsi="Calibri"/>
          <w:sz w:val="28"/>
          <w:szCs w:val="28"/>
        </w:rPr>
        <w:t>Ausschussvorsitz: Yann Hohdorf (Potsdam), Mara Diehl (Hamburg)</w:t>
      </w:r>
      <w:r w:rsidR="00484746" w:rsidRPr="00484746">
        <w:rPr>
          <w:rFonts w:ascii="Calibri" w:hAnsi="Calibri"/>
          <w:sz w:val="28"/>
          <w:szCs w:val="28"/>
        </w:rPr>
        <w:br/>
      </w:r>
    </w:p>
    <w:p w14:paraId="2307039D" w14:textId="0A6A57CE" w:rsidR="00484746" w:rsidRDefault="00484746" w:rsidP="00484746">
      <w:pPr>
        <w:pStyle w:val="Default"/>
        <w:spacing w:before="0" w:after="213" w:line="360" w:lineRule="atLeast"/>
        <w:rPr>
          <w:rFonts w:ascii="Times Roman" w:eastAsia="Times Roman" w:hAnsi="Times Roman" w:cs="Times Roman"/>
          <w:sz w:val="22"/>
          <w:szCs w:val="22"/>
        </w:rPr>
      </w:pPr>
      <w:r w:rsidRPr="00484746">
        <w:rPr>
          <w:rFonts w:ascii="Calibri" w:hAnsi="Calibri"/>
          <w:b/>
          <w:bCs/>
        </w:rPr>
        <w:t>Die Frage nach der zukünftigen Partnerschaft mit China:</w:t>
      </w:r>
      <w:r w:rsidR="00224D29">
        <w:br/>
      </w:r>
      <w:r w:rsidRPr="00484746">
        <w:rPr>
          <w:rFonts w:ascii="Calibri" w:hAnsi="Calibri"/>
        </w:rPr>
        <w:t>Die Wirtschaft der Europäischen Union hä</w:t>
      </w:r>
      <w:r w:rsidRPr="00484746">
        <w:rPr>
          <w:rFonts w:ascii="Calibri" w:hAnsi="Calibri"/>
          <w:lang w:val="da-DK"/>
        </w:rPr>
        <w:t xml:space="preserve">ngt </w:t>
      </w:r>
      <w:r>
        <w:rPr>
          <w:rFonts w:ascii="Calibri" w:hAnsi="Calibri"/>
          <w:lang w:val="da-DK"/>
        </w:rPr>
        <w:t xml:space="preserve">maßgeblich </w:t>
      </w:r>
      <w:r w:rsidRPr="00484746">
        <w:rPr>
          <w:rFonts w:ascii="Calibri" w:hAnsi="Calibri"/>
        </w:rPr>
        <w:t>vom Handel mit der Volksrepublik China ab. Gerade in Anbetracht des Wachstums und der Globalisierung beider Volkswirtschaften besteht die Möglichkeit, dass die Handelsbeziehungen beider Parteien und damit die Abhängigkeit in Zukunft weiter zunehmen werden.</w:t>
      </w:r>
      <w:r w:rsidR="005825F0">
        <w:rPr>
          <w:rFonts w:ascii="Calibri" w:hAnsi="Calibri"/>
        </w:rPr>
        <w:br/>
      </w:r>
      <w:r w:rsidRPr="00484746">
        <w:rPr>
          <w:rFonts w:ascii="Calibri" w:hAnsi="Calibri"/>
        </w:rPr>
        <w:t>Welche Schritte kann die EU ergreifen, um mit dieser Abhängigkeit umzugehen, ohne dabei das wirtschaftliche Wachstum zu vernachlässigen? Welche Relevanz hat hierbei die angespannte globale Sicherheits- und Menschenrechtslage in Bezug auf die Volksrepublik China? </w:t>
      </w:r>
    </w:p>
    <w:p w14:paraId="5488F16E" w14:textId="5F2252DC" w:rsidR="00224D29" w:rsidRPr="00484746" w:rsidRDefault="00224D29" w:rsidP="00484746">
      <w:pPr>
        <w:pStyle w:val="Default"/>
        <w:spacing w:before="0" w:after="213" w:line="400" w:lineRule="atLeast"/>
        <w:rPr>
          <w:rFonts w:ascii="Times Roman" w:eastAsia="Times Roman" w:hAnsi="Times Roman" w:cs="Times Roman"/>
          <w:sz w:val="22"/>
          <w:szCs w:val="22"/>
        </w:rPr>
      </w:pPr>
    </w:p>
    <w:p w14:paraId="3E1E9448" w14:textId="5E0CFBDC" w:rsidR="00C85F28" w:rsidRDefault="00C85F28" w:rsidP="00F55EFE">
      <w:pPr>
        <w:spacing w:after="120"/>
        <w:rPr>
          <w:rFonts w:cstheme="minorHAnsi"/>
          <w:b/>
          <w:bCs/>
          <w:color w:val="000000"/>
          <w:u w:val="single"/>
        </w:rPr>
      </w:pPr>
    </w:p>
    <w:p w14:paraId="5B1B2E0A" w14:textId="09FCB0FD" w:rsidR="00D975D4" w:rsidRDefault="00860C20" w:rsidP="00D975D4">
      <w:pPr>
        <w:pStyle w:val="StandardWeb"/>
        <w:spacing w:before="240" w:beforeAutospacing="0" w:after="240" w:afterAutospacing="0"/>
        <w:rPr>
          <w:rFonts w:asciiTheme="minorHAnsi" w:hAnsiTheme="minorHAnsi" w:cstheme="minorHAnsi"/>
          <w:sz w:val="22"/>
          <w:szCs w:val="22"/>
        </w:rPr>
      </w:pPr>
      <w:r w:rsidRPr="00D975D4">
        <w:rPr>
          <w:rFonts w:asciiTheme="minorHAnsi" w:hAnsiTheme="minorHAnsi" w:cstheme="minorHAnsi"/>
          <w:b/>
          <w:bCs/>
          <w:color w:val="000000"/>
          <w:sz w:val="22"/>
          <w:szCs w:val="22"/>
          <w:u w:val="single"/>
        </w:rPr>
        <w:t>Recherchehinweise:</w:t>
      </w:r>
    </w:p>
    <w:p w14:paraId="55779C12" w14:textId="77777777" w:rsidR="00484746" w:rsidRPr="00F82320" w:rsidRDefault="00484746" w:rsidP="00484746">
      <w:pPr>
        <w:pStyle w:val="Default"/>
        <w:numPr>
          <w:ilvl w:val="0"/>
          <w:numId w:val="21"/>
        </w:numPr>
        <w:spacing w:before="0" w:line="400" w:lineRule="atLeast"/>
        <w:rPr>
          <w:rFonts w:ascii="Calibri" w:hAnsi="Calibri" w:cs="Calibri"/>
          <w:color w:val="1155CC"/>
          <w:sz w:val="22"/>
          <w:szCs w:val="22"/>
          <w:u w:val="single"/>
          <w:lang w:val="en-US"/>
        </w:rPr>
      </w:pPr>
      <w:r w:rsidRPr="00F82320">
        <w:rPr>
          <w:rFonts w:ascii="Calibri" w:hAnsi="Calibri" w:cs="Calibri"/>
          <w:sz w:val="22"/>
          <w:szCs w:val="22"/>
          <w:lang w:val="en-US"/>
        </w:rPr>
        <w:t>WTO (</w:t>
      </w:r>
      <w:hyperlink r:id="rId6" w:history="1">
        <w:r w:rsidRPr="00C66667">
          <w:rPr>
            <w:rStyle w:val="Hyperlink0"/>
            <w:rFonts w:ascii="Calibri" w:hAnsi="Calibri" w:cs="Calibri"/>
            <w:sz w:val="22"/>
            <w:szCs w:val="22"/>
            <w:lang w:val="en-US"/>
          </w:rPr>
          <w:t>https://www.wto.org/english/thewto_e/whatis_e/whatis_e.htm</w:t>
        </w:r>
      </w:hyperlink>
      <w:r w:rsidRPr="00F82320">
        <w:rPr>
          <w:rFonts w:ascii="Calibri" w:hAnsi="Calibri" w:cs="Calibri"/>
          <w:sz w:val="22"/>
          <w:szCs w:val="22"/>
          <w:lang w:val="en-US"/>
        </w:rPr>
        <w:t xml:space="preserve">, </w:t>
      </w:r>
      <w:hyperlink r:id="rId7" w:history="1">
        <w:r w:rsidRPr="00C66667">
          <w:rPr>
            <w:rStyle w:val="Hyperlink0"/>
            <w:rFonts w:ascii="Calibri" w:hAnsi="Calibri" w:cs="Calibri"/>
            <w:sz w:val="22"/>
            <w:szCs w:val="22"/>
            <w:lang w:val="en-US"/>
          </w:rPr>
          <w:t>https://www.wto.org/english/tratop_e/dispu_e/cases_e/ds549_e.htm</w:t>
        </w:r>
      </w:hyperlink>
      <w:r w:rsidRPr="00F82320">
        <w:rPr>
          <w:rFonts w:ascii="Calibri" w:hAnsi="Calibri" w:cs="Calibri"/>
          <w:sz w:val="22"/>
          <w:szCs w:val="22"/>
          <w:lang w:val="en-US"/>
        </w:rPr>
        <w:t>)</w:t>
      </w:r>
    </w:p>
    <w:p w14:paraId="68AB39E0" w14:textId="77777777" w:rsidR="00484746" w:rsidRPr="00C66667" w:rsidRDefault="00484746" w:rsidP="00484746">
      <w:pPr>
        <w:pStyle w:val="Default"/>
        <w:numPr>
          <w:ilvl w:val="0"/>
          <w:numId w:val="21"/>
        </w:numPr>
        <w:spacing w:before="0" w:line="400" w:lineRule="atLeast"/>
        <w:rPr>
          <w:rFonts w:ascii="Calibri" w:hAnsi="Calibri" w:cs="Calibri"/>
          <w:color w:val="1155CC"/>
          <w:sz w:val="22"/>
          <w:szCs w:val="22"/>
          <w:u w:val="single"/>
        </w:rPr>
      </w:pPr>
      <w:proofErr w:type="spellStart"/>
      <w:r w:rsidRPr="00C66667">
        <w:rPr>
          <w:rFonts w:ascii="Calibri" w:hAnsi="Calibri" w:cs="Calibri"/>
          <w:sz w:val="22"/>
          <w:szCs w:val="22"/>
        </w:rPr>
        <w:t>Konnektivitätsstrategie</w:t>
      </w:r>
      <w:proofErr w:type="spellEnd"/>
      <w:r w:rsidRPr="00C66667">
        <w:rPr>
          <w:rFonts w:ascii="Calibri" w:hAnsi="Calibri" w:cs="Calibri"/>
          <w:sz w:val="22"/>
          <w:szCs w:val="22"/>
        </w:rPr>
        <w:t xml:space="preserve"> (</w:t>
      </w:r>
      <w:hyperlink r:id="rId8" w:history="1">
        <w:r w:rsidRPr="00F82320">
          <w:rPr>
            <w:rStyle w:val="Hyperlink0"/>
            <w:rFonts w:ascii="Calibri" w:hAnsi="Calibri" w:cs="Calibri"/>
            <w:sz w:val="22"/>
            <w:szCs w:val="22"/>
          </w:rPr>
          <w:t>https://ec.europa.eu/germany/news/20190919_de</w:t>
        </w:r>
      </w:hyperlink>
      <w:r w:rsidRPr="00C66667">
        <w:rPr>
          <w:rFonts w:ascii="Calibri" w:hAnsi="Calibri" w:cs="Calibri"/>
          <w:sz w:val="22"/>
          <w:szCs w:val="22"/>
        </w:rPr>
        <w:t>) </w:t>
      </w:r>
    </w:p>
    <w:p w14:paraId="0BD83054" w14:textId="1A972A7E" w:rsidR="00484746" w:rsidRPr="00C66667" w:rsidRDefault="00484746" w:rsidP="00484746">
      <w:pPr>
        <w:pStyle w:val="Default"/>
        <w:numPr>
          <w:ilvl w:val="0"/>
          <w:numId w:val="21"/>
        </w:numPr>
        <w:spacing w:before="0" w:line="400" w:lineRule="atLeast"/>
        <w:rPr>
          <w:rFonts w:ascii="Calibri" w:hAnsi="Calibri" w:cs="Calibri"/>
          <w:color w:val="1155CC"/>
          <w:sz w:val="22"/>
          <w:szCs w:val="22"/>
          <w:u w:val="single"/>
        </w:rPr>
      </w:pPr>
      <w:r w:rsidRPr="00C66667">
        <w:rPr>
          <w:rFonts w:ascii="Calibri" w:hAnsi="Calibri" w:cs="Calibri"/>
          <w:sz w:val="22"/>
          <w:szCs w:val="22"/>
        </w:rPr>
        <w:t>CAI (Investitionsabkommen zwischen der EU und China) (</w:t>
      </w:r>
      <w:hyperlink r:id="rId9" w:history="1">
        <w:r w:rsidRPr="00C66667">
          <w:rPr>
            <w:rStyle w:val="Hyperlink0"/>
            <w:rFonts w:ascii="Calibri" w:hAnsi="Calibri" w:cs="Calibri"/>
            <w:sz w:val="22"/>
            <w:szCs w:val="22"/>
          </w:rPr>
          <w:t>https://ec.europa.eu/germany/news/20210312-eu-china-investitionsabkommen_de</w:t>
        </w:r>
      </w:hyperlink>
      <w:r w:rsidRPr="00C66667">
        <w:rPr>
          <w:rFonts w:ascii="Calibri" w:hAnsi="Calibri" w:cs="Calibri"/>
          <w:sz w:val="22"/>
          <w:szCs w:val="22"/>
        </w:rPr>
        <w:t xml:space="preserve">, </w:t>
      </w:r>
      <w:hyperlink r:id="rId10" w:history="1">
        <w:r w:rsidRPr="00C66667">
          <w:rPr>
            <w:rStyle w:val="Hyperlink0"/>
            <w:rFonts w:ascii="Calibri" w:hAnsi="Calibri" w:cs="Calibri"/>
            <w:sz w:val="22"/>
            <w:szCs w:val="22"/>
          </w:rPr>
          <w:t>https://ec.europa.eu/germany/news/20210122-investitionsabkommen-eu-china_de</w:t>
        </w:r>
      </w:hyperlink>
      <w:r w:rsidRPr="00C66667">
        <w:rPr>
          <w:rFonts w:ascii="Calibri" w:hAnsi="Calibri" w:cs="Calibri"/>
          <w:sz w:val="22"/>
          <w:szCs w:val="22"/>
        </w:rPr>
        <w:t>) </w:t>
      </w:r>
    </w:p>
    <w:p w14:paraId="628DECE0" w14:textId="77777777" w:rsidR="00484746" w:rsidRPr="00C66667" w:rsidRDefault="00484746" w:rsidP="004F3905">
      <w:pPr>
        <w:pStyle w:val="Default"/>
        <w:numPr>
          <w:ilvl w:val="0"/>
          <w:numId w:val="21"/>
        </w:numPr>
        <w:spacing w:before="0" w:line="400" w:lineRule="atLeast"/>
        <w:rPr>
          <w:rFonts w:ascii="Calibri" w:hAnsi="Calibri" w:cs="Calibri"/>
          <w:sz w:val="22"/>
          <w:szCs w:val="22"/>
        </w:rPr>
      </w:pPr>
      <w:r w:rsidRPr="00C66667">
        <w:rPr>
          <w:rFonts w:ascii="Calibri" w:hAnsi="Calibri" w:cs="Calibri"/>
          <w:sz w:val="22"/>
          <w:szCs w:val="22"/>
        </w:rPr>
        <w:t>Lieferkettengesetz (</w:t>
      </w:r>
      <w:hyperlink r:id="rId11" w:history="1">
        <w:r w:rsidRPr="00C66667">
          <w:rPr>
            <w:rStyle w:val="Hyperlink0"/>
            <w:rFonts w:ascii="Calibri" w:hAnsi="Calibri" w:cs="Calibri"/>
            <w:sz w:val="22"/>
            <w:szCs w:val="22"/>
          </w:rPr>
          <w:t>https://www.europarl.europa.eu/news/de/press-room/20210122IPR96215/lieferketten-unternehmen-fur-schaden-an-mensch-und-umwelt-verantwortlich</w:t>
        </w:r>
      </w:hyperlink>
      <w:r w:rsidRPr="00C66667">
        <w:rPr>
          <w:rFonts w:ascii="Calibri" w:hAnsi="Calibri" w:cs="Calibri"/>
          <w:sz w:val="22"/>
          <w:szCs w:val="22"/>
        </w:rPr>
        <w:t>) </w:t>
      </w:r>
    </w:p>
    <w:p w14:paraId="0D85BE3B" w14:textId="77777777" w:rsidR="00484746" w:rsidRPr="00C66667" w:rsidRDefault="00484746" w:rsidP="00EF6FDC">
      <w:pPr>
        <w:pStyle w:val="Default"/>
        <w:numPr>
          <w:ilvl w:val="0"/>
          <w:numId w:val="21"/>
        </w:numPr>
        <w:spacing w:before="0" w:line="400" w:lineRule="atLeast"/>
        <w:rPr>
          <w:rFonts w:ascii="Calibri" w:hAnsi="Calibri" w:cs="Calibri"/>
          <w:color w:val="1155CC"/>
          <w:sz w:val="22"/>
          <w:szCs w:val="22"/>
          <w:u w:val="single"/>
        </w:rPr>
      </w:pPr>
      <w:r w:rsidRPr="00C66667">
        <w:rPr>
          <w:rFonts w:ascii="Calibri" w:hAnsi="Calibri" w:cs="Calibri"/>
          <w:sz w:val="22"/>
          <w:szCs w:val="22"/>
        </w:rPr>
        <w:t>Menschenrechtslage in der VR China (</w:t>
      </w:r>
      <w:hyperlink r:id="rId12" w:history="1">
        <w:r w:rsidRPr="00C66667">
          <w:rPr>
            <w:rStyle w:val="Hyperlink1"/>
            <w:rFonts w:ascii="Calibri" w:hAnsi="Calibri" w:cs="Calibri"/>
            <w:sz w:val="22"/>
            <w:szCs w:val="22"/>
          </w:rPr>
          <w:t>https://www.igfm.de/china/</w:t>
        </w:r>
      </w:hyperlink>
      <w:r w:rsidRPr="00C66667">
        <w:rPr>
          <w:rFonts w:ascii="Calibri" w:hAnsi="Calibri" w:cs="Calibri"/>
          <w:sz w:val="22"/>
          <w:szCs w:val="22"/>
        </w:rPr>
        <w:t>) </w:t>
      </w:r>
    </w:p>
    <w:p w14:paraId="3577BA53" w14:textId="77777777" w:rsidR="00484746" w:rsidRPr="00484746" w:rsidRDefault="00484746" w:rsidP="00F05AB3">
      <w:pPr>
        <w:pStyle w:val="Default"/>
        <w:numPr>
          <w:ilvl w:val="0"/>
          <w:numId w:val="21"/>
        </w:numPr>
        <w:spacing w:before="0" w:line="400" w:lineRule="atLeast"/>
        <w:rPr>
          <w:rStyle w:val="None"/>
          <w:rFonts w:ascii="Calibri" w:hAnsi="Calibri" w:cs="Calibri"/>
          <w:color w:val="1155CC"/>
          <w:sz w:val="22"/>
          <w:szCs w:val="22"/>
          <w:u w:val="single"/>
        </w:rPr>
      </w:pPr>
      <w:r w:rsidRPr="00484746">
        <w:rPr>
          <w:rStyle w:val="None"/>
          <w:rFonts w:ascii="Calibri" w:hAnsi="Calibri" w:cs="Calibri"/>
          <w:sz w:val="22"/>
          <w:szCs w:val="22"/>
        </w:rPr>
        <w:lastRenderedPageBreak/>
        <w:t>Freihandelsabkommen „</w:t>
      </w:r>
      <w:r w:rsidRPr="00484746">
        <w:rPr>
          <w:rStyle w:val="None"/>
          <w:rFonts w:ascii="Calibri" w:hAnsi="Calibri" w:cs="Calibri"/>
          <w:sz w:val="22"/>
          <w:szCs w:val="22"/>
          <w:lang w:val="es-ES_tradnl"/>
        </w:rPr>
        <w:t>Asean</w:t>
      </w:r>
      <w:r w:rsidRPr="00484746">
        <w:rPr>
          <w:rStyle w:val="None"/>
          <w:rFonts w:ascii="Calibri" w:hAnsi="Calibri" w:cs="Calibri"/>
          <w:sz w:val="22"/>
          <w:szCs w:val="22"/>
        </w:rPr>
        <w:t>” (</w:t>
      </w:r>
      <w:hyperlink r:id="rId13" w:history="1">
        <w:r w:rsidRPr="00484746">
          <w:rPr>
            <w:rStyle w:val="Hyperlink0"/>
            <w:rFonts w:ascii="Calibri" w:hAnsi="Calibri" w:cs="Calibri"/>
            <w:sz w:val="22"/>
            <w:szCs w:val="22"/>
          </w:rPr>
          <w:t>https://www.bmwi.de/Redaktion/DE/Artikel/Aussenwirtschaft/freihandelsabkommen-aktuelle-verhandlungen.html</w:t>
        </w:r>
      </w:hyperlink>
      <w:r w:rsidRPr="00484746">
        <w:rPr>
          <w:rStyle w:val="None"/>
          <w:rFonts w:ascii="Calibri" w:hAnsi="Calibri" w:cs="Calibri"/>
          <w:sz w:val="22"/>
          <w:szCs w:val="22"/>
        </w:rPr>
        <w:t>)</w:t>
      </w:r>
    </w:p>
    <w:p w14:paraId="518BE811" w14:textId="500FE653" w:rsidR="00484746" w:rsidRPr="00484746" w:rsidRDefault="00484746" w:rsidP="00484746">
      <w:pPr>
        <w:pStyle w:val="Default"/>
        <w:numPr>
          <w:ilvl w:val="0"/>
          <w:numId w:val="21"/>
        </w:numPr>
        <w:spacing w:before="0" w:line="400" w:lineRule="atLeast"/>
        <w:rPr>
          <w:rFonts w:ascii="Calibri" w:hAnsi="Calibri" w:cs="Calibri"/>
          <w:color w:val="1155CC"/>
          <w:sz w:val="22"/>
          <w:szCs w:val="22"/>
          <w:u w:val="single"/>
        </w:rPr>
      </w:pPr>
      <w:r w:rsidRPr="00484746">
        <w:rPr>
          <w:rStyle w:val="None"/>
          <w:rFonts w:ascii="Calibri" w:hAnsi="Calibri" w:cs="Calibri"/>
          <w:sz w:val="22"/>
          <w:szCs w:val="22"/>
        </w:rPr>
        <w:t>Handelsbilanz (</w:t>
      </w:r>
      <w:hyperlink r:id="rId14" w:history="1">
        <w:r w:rsidRPr="00484746">
          <w:rPr>
            <w:rStyle w:val="Hyperlink0"/>
            <w:rFonts w:ascii="Calibri" w:hAnsi="Calibri" w:cs="Calibri"/>
            <w:sz w:val="22"/>
            <w:szCs w:val="22"/>
          </w:rPr>
          <w:t>https://www.bpb.de/nachschlagen/lexika/lexikon-der-wirtschaft/19653/handelsbilanz</w:t>
        </w:r>
      </w:hyperlink>
      <w:r w:rsidRPr="00484746">
        <w:rPr>
          <w:rStyle w:val="None"/>
          <w:rFonts w:ascii="Calibri" w:hAnsi="Calibri" w:cs="Calibri"/>
          <w:sz w:val="22"/>
          <w:szCs w:val="22"/>
        </w:rPr>
        <w:t>) </w:t>
      </w:r>
    </w:p>
    <w:p w14:paraId="36613CAE" w14:textId="65BBD160" w:rsidR="00484746" w:rsidRPr="00484746" w:rsidRDefault="00484746" w:rsidP="00484746">
      <w:pPr>
        <w:pStyle w:val="Default"/>
        <w:numPr>
          <w:ilvl w:val="0"/>
          <w:numId w:val="21"/>
        </w:numPr>
        <w:spacing w:before="0" w:line="360" w:lineRule="atLeast"/>
        <w:rPr>
          <w:rFonts w:ascii="Calibri" w:hAnsi="Calibri" w:cs="Calibri"/>
          <w:color w:val="1155CC"/>
          <w:sz w:val="22"/>
          <w:szCs w:val="22"/>
          <w:u w:val="single"/>
        </w:rPr>
      </w:pPr>
      <w:r w:rsidRPr="00484746">
        <w:rPr>
          <w:rStyle w:val="None"/>
          <w:rFonts w:ascii="Calibri" w:hAnsi="Calibri" w:cs="Calibri"/>
          <w:sz w:val="22"/>
          <w:szCs w:val="22"/>
        </w:rPr>
        <w:t xml:space="preserve">„Neue Seidenstraße” / </w:t>
      </w:r>
      <w:r w:rsidRPr="00484746">
        <w:rPr>
          <w:rStyle w:val="None"/>
          <w:rFonts w:ascii="Calibri" w:hAnsi="Calibri" w:cs="Calibri"/>
          <w:sz w:val="22"/>
          <w:szCs w:val="22"/>
          <w:rtl/>
          <w:lang w:val="ar-SA"/>
        </w:rPr>
        <w:t>“</w:t>
      </w:r>
      <w:r w:rsidRPr="00F82320">
        <w:rPr>
          <w:rStyle w:val="None"/>
          <w:rFonts w:ascii="Calibri" w:hAnsi="Calibri" w:cs="Calibri"/>
          <w:sz w:val="22"/>
          <w:szCs w:val="22"/>
        </w:rPr>
        <w:t>Belt and Road Initiative</w:t>
      </w:r>
      <w:r w:rsidRPr="00484746">
        <w:rPr>
          <w:rStyle w:val="None"/>
          <w:rFonts w:ascii="Calibri" w:hAnsi="Calibri" w:cs="Calibri"/>
          <w:sz w:val="22"/>
          <w:szCs w:val="22"/>
        </w:rPr>
        <w:t>” (</w:t>
      </w:r>
      <w:hyperlink r:id="rId15" w:history="1">
        <w:r w:rsidRPr="00484746">
          <w:rPr>
            <w:rStyle w:val="Hyperlink0"/>
            <w:rFonts w:ascii="Calibri" w:hAnsi="Calibri" w:cs="Calibri"/>
            <w:sz w:val="22"/>
            <w:szCs w:val="22"/>
          </w:rPr>
          <w:t>https://www.tagesschau.de/ausland/asien/seidenstrasse-113.html</w:t>
        </w:r>
      </w:hyperlink>
      <w:r w:rsidRPr="00484746">
        <w:rPr>
          <w:rStyle w:val="None"/>
          <w:rFonts w:ascii="Calibri" w:hAnsi="Calibri" w:cs="Calibri"/>
          <w:sz w:val="22"/>
          <w:szCs w:val="22"/>
        </w:rPr>
        <w:t>) </w:t>
      </w:r>
    </w:p>
    <w:p w14:paraId="1B6CC5C5" w14:textId="77777777" w:rsidR="00484746" w:rsidRDefault="00484746" w:rsidP="00484746">
      <w:pPr>
        <w:pStyle w:val="Default"/>
        <w:numPr>
          <w:ilvl w:val="0"/>
          <w:numId w:val="21"/>
        </w:numPr>
        <w:spacing w:before="0" w:after="213" w:line="400" w:lineRule="atLeast"/>
        <w:rPr>
          <w:rStyle w:val="None"/>
          <w:rFonts w:ascii="Calibri" w:hAnsi="Calibri" w:cs="Calibri"/>
          <w:sz w:val="22"/>
          <w:szCs w:val="22"/>
        </w:rPr>
      </w:pPr>
      <w:r w:rsidRPr="00484746">
        <w:rPr>
          <w:rStyle w:val="None"/>
          <w:rFonts w:ascii="Calibri" w:hAnsi="Calibri" w:cs="Calibri"/>
          <w:sz w:val="22"/>
          <w:szCs w:val="22"/>
        </w:rPr>
        <w:t>Menschenrechtssanktionsmechanismus der EU (</w:t>
      </w:r>
      <w:hyperlink r:id="rId16" w:history="1">
        <w:r w:rsidRPr="00F82320">
          <w:rPr>
            <w:rStyle w:val="Hyperlink0"/>
            <w:rFonts w:ascii="Calibri" w:hAnsi="Calibri" w:cs="Calibri"/>
            <w:sz w:val="22"/>
            <w:szCs w:val="22"/>
          </w:rPr>
          <w:t>https://www.consilium.europa.eu/de/press/press-releases/2020/12/07/eu-adopts-a-global-human-rights-sanctions-regime/</w:t>
        </w:r>
      </w:hyperlink>
      <w:r w:rsidRPr="00484746">
        <w:rPr>
          <w:rStyle w:val="None"/>
          <w:rFonts w:ascii="Calibri" w:hAnsi="Calibri" w:cs="Calibri"/>
          <w:sz w:val="22"/>
          <w:szCs w:val="22"/>
        </w:rPr>
        <w:t>) </w:t>
      </w:r>
    </w:p>
    <w:p w14:paraId="398779A3" w14:textId="219DA235" w:rsidR="006B04D5" w:rsidRPr="00484746" w:rsidRDefault="00484746" w:rsidP="00484746">
      <w:pPr>
        <w:pStyle w:val="Default"/>
        <w:numPr>
          <w:ilvl w:val="0"/>
          <w:numId w:val="21"/>
        </w:numPr>
        <w:spacing w:before="0" w:after="213" w:line="240" w:lineRule="auto"/>
        <w:rPr>
          <w:rFonts w:ascii="Calibri" w:hAnsi="Calibri" w:cs="Calibri"/>
          <w:sz w:val="22"/>
          <w:szCs w:val="22"/>
        </w:rPr>
      </w:pPr>
      <w:r w:rsidRPr="00484746">
        <w:rPr>
          <w:rStyle w:val="None"/>
          <w:rFonts w:ascii="Calibri" w:hAnsi="Calibri" w:cs="Calibri"/>
          <w:sz w:val="22"/>
          <w:szCs w:val="22"/>
        </w:rPr>
        <w:t>Volksrepublik</w:t>
      </w:r>
    </w:p>
    <w:p w14:paraId="452171C8" w14:textId="632F5018" w:rsidR="006B6973" w:rsidRPr="006B6973" w:rsidRDefault="006B6973" w:rsidP="006B6973">
      <w:pPr>
        <w:pStyle w:val="Listenabsatz"/>
        <w:rPr>
          <w:sz w:val="24"/>
          <w:szCs w:val="24"/>
        </w:rPr>
      </w:pPr>
    </w:p>
    <w:p w14:paraId="7B4EFC55" w14:textId="77777777" w:rsidR="00A70B11" w:rsidRPr="00A70B11" w:rsidRDefault="00A70B11" w:rsidP="00A70B11">
      <w:pPr>
        <w:pStyle w:val="Listenabsatz"/>
        <w:rPr>
          <w:sz w:val="24"/>
          <w:szCs w:val="24"/>
        </w:rPr>
      </w:pPr>
    </w:p>
    <w:p w14:paraId="0165989B" w14:textId="57A7A85A" w:rsidR="00A70B11" w:rsidRDefault="00A70B11" w:rsidP="006B6973">
      <w:pPr>
        <w:rPr>
          <w:i/>
          <w:iCs/>
          <w:sz w:val="24"/>
          <w:szCs w:val="24"/>
        </w:rPr>
      </w:pPr>
      <w:r>
        <w:rPr>
          <w:i/>
          <w:iCs/>
          <w:sz w:val="24"/>
          <w:szCs w:val="24"/>
        </w:rPr>
        <w:t>Die Recherchehinweise und Links</w:t>
      </w:r>
      <w:r w:rsidR="0053544A">
        <w:rPr>
          <w:i/>
          <w:iCs/>
          <w:sz w:val="24"/>
          <w:szCs w:val="24"/>
        </w:rPr>
        <w:t xml:space="preserve"> </w:t>
      </w:r>
      <w:r>
        <w:rPr>
          <w:i/>
          <w:iCs/>
          <w:sz w:val="24"/>
          <w:szCs w:val="24"/>
        </w:rPr>
        <w:t>sind als Einstieg für die Vorbereitung zu sehen. Sie beinhalten essen</w:t>
      </w:r>
      <w:r w:rsidR="00D6033F">
        <w:rPr>
          <w:i/>
          <w:iCs/>
          <w:sz w:val="24"/>
          <w:szCs w:val="24"/>
        </w:rPr>
        <w:t>z</w:t>
      </w:r>
      <w:r>
        <w:rPr>
          <w:i/>
          <w:iCs/>
          <w:sz w:val="24"/>
          <w:szCs w:val="24"/>
        </w:rPr>
        <w:t>ielles Grundwissen zum Verständnis des Themas und zum Verfassen der Resolution. Weiterführende Recherche ist absolut notwendig.</w:t>
      </w:r>
    </w:p>
    <w:p w14:paraId="2169C9BC" w14:textId="77777777" w:rsidR="006B6973" w:rsidRDefault="006B6973" w:rsidP="006B6973">
      <w:pPr>
        <w:rPr>
          <w:rFonts w:cstheme="minorHAnsi"/>
          <w:i/>
          <w:sz w:val="24"/>
          <w:szCs w:val="24"/>
        </w:rPr>
      </w:pPr>
    </w:p>
    <w:p w14:paraId="726CE61E" w14:textId="0B0A061B" w:rsidR="006B6973" w:rsidRPr="00BD660C" w:rsidRDefault="006B6973" w:rsidP="006B6973">
      <w:pPr>
        <w:ind w:right="-828"/>
        <w:jc w:val="center"/>
      </w:pPr>
      <w:bookmarkStart w:id="0" w:name="_Hlk32411376"/>
      <w:r w:rsidRPr="00BD660C">
        <w:t xml:space="preserve">  </w:t>
      </w:r>
      <w:r w:rsidRPr="00BD660C">
        <w:rPr>
          <w:rFonts w:ascii="Arial" w:hAnsi="Arial" w:cs="Arial"/>
        </w:rPr>
        <w:t xml:space="preserve">  </w:t>
      </w:r>
      <w:r w:rsidRPr="00BD660C">
        <w:fldChar w:fldCharType="begin"/>
      </w:r>
      <w:r w:rsidRPr="00BD660C">
        <w:instrText xml:space="preserve"> INCLUDEPICTURE "http://tdm2000.pl/wp-content/uploads/2014/09/128156_Logo_Erasmus___60ko.jpg" \* MERGEFORMATINET </w:instrText>
      </w:r>
      <w:r w:rsidRPr="00BD660C">
        <w:fldChar w:fldCharType="separate"/>
      </w:r>
      <w:r w:rsidRPr="00BD660C">
        <w:fldChar w:fldCharType="begin"/>
      </w:r>
      <w:r w:rsidRPr="00BD660C">
        <w:instrText xml:space="preserve"> INCLUDEPICTURE  "http://tdm2000.pl/wp-content/uploads/2014/09/128156_Logo_Erasmus___60ko.jpg" \* MERGEFORMATINET </w:instrText>
      </w:r>
      <w:r w:rsidRPr="00BD660C">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rsidR="00C42876">
        <w:fldChar w:fldCharType="begin"/>
      </w:r>
      <w:r w:rsidR="00C42876">
        <w:instrText xml:space="preserve"> INCLUDEPICTURE  "http://tdm2000.pl/wp-content/uploads/2014/09/128156_Logo_Erasmus___60ko.jpg" \* MERGEFORMATINET </w:instrText>
      </w:r>
      <w:r w:rsidR="00C42876">
        <w:fldChar w:fldCharType="separate"/>
      </w:r>
      <w:r w:rsidR="0053544A">
        <w:fldChar w:fldCharType="begin"/>
      </w:r>
      <w:r w:rsidR="0053544A">
        <w:instrText xml:space="preserve"> INCLUDEPICTURE  "http://tdm2000.pl/wp-content/uploads/2014/09/128156_Logo_Erasmus___60ko.jpg" \* MERGEFORMATINET </w:instrText>
      </w:r>
      <w:r w:rsidR="0053544A">
        <w:fldChar w:fldCharType="separate"/>
      </w:r>
      <w:r w:rsidR="0084117D">
        <w:fldChar w:fldCharType="begin"/>
      </w:r>
      <w:r w:rsidR="0084117D">
        <w:instrText xml:space="preserve"> INCLUDEPICTURE  "http://tdm2000.pl/wp-content/uploads/2014/09/128156_Logo_Erasmus___60ko.jpg" \* MERGEFORMATINET </w:instrText>
      </w:r>
      <w:r w:rsidR="0084117D">
        <w:fldChar w:fldCharType="separate"/>
      </w:r>
      <w:r w:rsidR="00960817">
        <w:fldChar w:fldCharType="begin"/>
      </w:r>
      <w:r w:rsidR="00960817">
        <w:instrText xml:space="preserve"> INCLUDEPICTURE  "http://tdm2000.pl/wp-content/uploads/2014/09/128156_Logo_Erasmus___60ko.jpg" \* MERGEFORMATINET </w:instrText>
      </w:r>
      <w:r w:rsidR="00960817">
        <w:fldChar w:fldCharType="separate"/>
      </w:r>
      <w:r w:rsidR="005825F0">
        <w:fldChar w:fldCharType="begin"/>
      </w:r>
      <w:r w:rsidR="005825F0">
        <w:instrText xml:space="preserve"> INCLUDEPICTURE  "http://tdm2000.pl/wp-content/uploads/2014/09/128156_Logo_Erasmus___60ko.jpg" \* MERGEFORMATINET </w:instrText>
      </w:r>
      <w:r w:rsidR="005825F0">
        <w:fldChar w:fldCharType="separate"/>
      </w:r>
      <w:r w:rsidR="00C66667">
        <w:fldChar w:fldCharType="begin"/>
      </w:r>
      <w:r w:rsidR="00C66667">
        <w:instrText xml:space="preserve"> INCLUDEPICTURE  "http://tdm2000.pl/wp-content/uploads/2014/09/128156_Logo_Erasmus___60ko.jpg" \* MERGEFORMATINET </w:instrText>
      </w:r>
      <w:r w:rsidR="00C66667">
        <w:fldChar w:fldCharType="separate"/>
      </w:r>
      <w:r w:rsidR="00D6033F">
        <w:fldChar w:fldCharType="begin"/>
      </w:r>
      <w:r w:rsidR="00D6033F">
        <w:instrText xml:space="preserve"> INCLUDEPICTURE  "http://tdm2000.pl/wp-content/uploads/2014/09/128156_Logo_Erasmus___60ko.jpg" \* MERGEFORMATINET </w:instrText>
      </w:r>
      <w:r w:rsidR="00D6033F">
        <w:fldChar w:fldCharType="separate"/>
      </w:r>
      <w:r w:rsidR="00F82320">
        <w:fldChar w:fldCharType="begin"/>
      </w:r>
      <w:r w:rsidR="00F82320">
        <w:instrText xml:space="preserve"> </w:instrText>
      </w:r>
      <w:r w:rsidR="00F82320">
        <w:instrText>INCLUDEPICTURE  "http://tdm2000.pl/wp-content/uploads/2014/09/128156_Logo_Erasmus___60ko.jpg" \* MERGEFORMATINET</w:instrText>
      </w:r>
      <w:r w:rsidR="00F82320">
        <w:instrText xml:space="preserve"> </w:instrText>
      </w:r>
      <w:r w:rsidR="00F82320">
        <w:fldChar w:fldCharType="separate"/>
      </w:r>
      <w:r w:rsidR="00F82320">
        <w:pict w14:anchorId="3428406A">
          <v:shape id="_x0000_i1027" type="#_x0000_t75" style="width:221.25pt;height:61.5pt">
            <v:imagedata r:id="rId17" r:href="rId18"/>
          </v:shape>
        </w:pict>
      </w:r>
      <w:r w:rsidR="00F82320">
        <w:fldChar w:fldCharType="end"/>
      </w:r>
      <w:r w:rsidR="00D6033F">
        <w:fldChar w:fldCharType="end"/>
      </w:r>
      <w:r w:rsidR="00C66667">
        <w:fldChar w:fldCharType="end"/>
      </w:r>
      <w:r w:rsidR="005825F0">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fldChar w:fldCharType="begin"/>
      </w:r>
      <w:r w:rsidRPr="00BD660C">
        <w:instrText xml:space="preserve"> INCLUDEPICTURE "https://mitwirkung.dbjr.de/wp-content/uploads/2018/08/YGLogoGeneral-640x420.png" \* MERGEFORMATINET </w:instrText>
      </w:r>
      <w:r w:rsidRPr="00BD660C">
        <w:fldChar w:fldCharType="separate"/>
      </w:r>
      <w:r w:rsidRPr="00BD660C">
        <w:fldChar w:fldCharType="begin"/>
      </w:r>
      <w:r w:rsidRPr="00BD660C">
        <w:instrText xml:space="preserve"> INCLUDEPICTURE  "https://mitwirkung.dbjr.de/wp-content/uploads/2018/08/YGLogoGeneral-640x420.png" \* MERGEFORMATINET </w:instrText>
      </w:r>
      <w:r w:rsidRPr="00BD660C">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rsidR="00C42876">
        <w:fldChar w:fldCharType="begin"/>
      </w:r>
      <w:r w:rsidR="00C42876">
        <w:instrText xml:space="preserve"> INCLUDEPICTURE  "https://mitwirkung.dbjr.de/wp-content/uploads/2018/08/YGLogoGeneral-640x420.png" \* MERGEFORMATINET </w:instrText>
      </w:r>
      <w:r w:rsidR="00C42876">
        <w:fldChar w:fldCharType="separate"/>
      </w:r>
      <w:r w:rsidR="0053544A">
        <w:fldChar w:fldCharType="begin"/>
      </w:r>
      <w:r w:rsidR="0053544A">
        <w:instrText xml:space="preserve"> INCLUDEPICTURE  "https://mitwirkung.dbjr.de/wp-content/uploads/2018/08/YGLogoGeneral-640x420.png" \* MERGEFORMATINET </w:instrText>
      </w:r>
      <w:r w:rsidR="0053544A">
        <w:fldChar w:fldCharType="separate"/>
      </w:r>
      <w:r w:rsidR="0084117D">
        <w:fldChar w:fldCharType="begin"/>
      </w:r>
      <w:r w:rsidR="0084117D">
        <w:instrText xml:space="preserve"> INCLUDEPICTURE  "https://mitwirkung.dbjr.de/wp-content/uploads/2018/08/YGLogoGeneral-640x420.png" \* MERGEFORMATINET </w:instrText>
      </w:r>
      <w:r w:rsidR="0084117D">
        <w:fldChar w:fldCharType="separate"/>
      </w:r>
      <w:r w:rsidR="00960817">
        <w:fldChar w:fldCharType="begin"/>
      </w:r>
      <w:r w:rsidR="00960817">
        <w:instrText xml:space="preserve"> INCLUDEPICTURE  "https://mitwirkung.dbjr.de/wp-content/uploads/2018/08/YGLogoGeneral-640x420.png" \* MERGEFORMATINET </w:instrText>
      </w:r>
      <w:r w:rsidR="00960817">
        <w:fldChar w:fldCharType="separate"/>
      </w:r>
      <w:r w:rsidR="005825F0">
        <w:fldChar w:fldCharType="begin"/>
      </w:r>
      <w:r w:rsidR="005825F0">
        <w:instrText xml:space="preserve"> INCLUDEPICTURE  "https://mitwirkung.dbjr.de/wp-content/uploads/2018/08/YGLogoGeneral-640x420.png" \* MERGEFORMATINET </w:instrText>
      </w:r>
      <w:r w:rsidR="005825F0">
        <w:fldChar w:fldCharType="separate"/>
      </w:r>
      <w:r w:rsidR="00C66667">
        <w:fldChar w:fldCharType="begin"/>
      </w:r>
      <w:r w:rsidR="00C66667">
        <w:instrText xml:space="preserve"> INCLUDEPICTURE  "https://mitwirkung.dbjr.de/wp-content/uploads/2018/08/YGLogoGeneral-640x420.png" \* MERGEFORMATINET </w:instrText>
      </w:r>
      <w:r w:rsidR="00C66667">
        <w:fldChar w:fldCharType="separate"/>
      </w:r>
      <w:r w:rsidR="00D6033F">
        <w:fldChar w:fldCharType="begin"/>
      </w:r>
      <w:r w:rsidR="00D6033F">
        <w:instrText xml:space="preserve"> INCLUDEPICTURE  "https://mitwirkung.dbjr.de/wp-content/uploads/2018/08/YGLogoGeneral-640x420.png" \* MERGEFORMATINET </w:instrText>
      </w:r>
      <w:r w:rsidR="00D6033F">
        <w:fldChar w:fldCharType="separate"/>
      </w:r>
      <w:r w:rsidR="00F82320">
        <w:fldChar w:fldCharType="begin"/>
      </w:r>
      <w:r w:rsidR="00F82320">
        <w:instrText xml:space="preserve"> </w:instrText>
      </w:r>
      <w:r w:rsidR="00F82320">
        <w:instrText>INCLUDEPICTURE  "https://mitwirkung.dbjr.de/wp-content/uploads/2018/08/YGLogoGeneral-640x420.png" \* MERGEFOR</w:instrText>
      </w:r>
      <w:r w:rsidR="00F82320">
        <w:instrText>MATINET</w:instrText>
      </w:r>
      <w:r w:rsidR="00F82320">
        <w:instrText xml:space="preserve"> </w:instrText>
      </w:r>
      <w:r w:rsidR="00F82320">
        <w:fldChar w:fldCharType="separate"/>
      </w:r>
      <w:r w:rsidR="00F82320">
        <w:pict w14:anchorId="073BEFC3">
          <v:shape id="_x0000_i1028" type="#_x0000_t75" alt="Bildergebnis für YOuthgoals" style="width:113.25pt;height:77.25pt">
            <v:imagedata r:id="rId19" r:href="rId20"/>
          </v:shape>
        </w:pict>
      </w:r>
      <w:r w:rsidR="00F82320">
        <w:fldChar w:fldCharType="end"/>
      </w:r>
      <w:r w:rsidR="00D6033F">
        <w:fldChar w:fldCharType="end"/>
      </w:r>
      <w:r w:rsidR="00C66667">
        <w:fldChar w:fldCharType="end"/>
      </w:r>
      <w:r w:rsidR="005825F0">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t xml:space="preserve">         </w:t>
      </w:r>
      <w:r w:rsidRPr="00BD660C">
        <w:rPr>
          <w:noProof/>
        </w:rPr>
        <w:drawing>
          <wp:inline distT="0" distB="0" distL="0" distR="0" wp14:anchorId="56C50F46" wp14:editId="60E7CC5D">
            <wp:extent cx="1600200"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BD660C">
        <w:t xml:space="preserve">       </w:t>
      </w:r>
      <w:r w:rsidRPr="00BD660C">
        <w:rPr>
          <w:noProof/>
        </w:rPr>
        <w:drawing>
          <wp:inline distT="0" distB="0" distL="0" distR="0" wp14:anchorId="3798071E" wp14:editId="5E55E2FD">
            <wp:extent cx="1771037" cy="124777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6187" cy="1251403"/>
                    </a:xfrm>
                    <a:prstGeom prst="rect">
                      <a:avLst/>
                    </a:prstGeom>
                    <a:noFill/>
                    <a:ln>
                      <a:noFill/>
                    </a:ln>
                  </pic:spPr>
                </pic:pic>
              </a:graphicData>
            </a:graphic>
          </wp:inline>
        </w:drawing>
      </w:r>
      <w:r w:rsidRPr="00BD660C">
        <w:rPr>
          <w:noProof/>
        </w:rPr>
        <w:drawing>
          <wp:inline distT="0" distB="0" distL="0" distR="0" wp14:anchorId="1FF1DCA1" wp14:editId="1CA9C25D">
            <wp:extent cx="2146016" cy="1152489"/>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858" cy="1159923"/>
                    </a:xfrm>
                    <a:prstGeom prst="rect">
                      <a:avLst/>
                    </a:prstGeom>
                    <a:noFill/>
                    <a:ln>
                      <a:noFill/>
                    </a:ln>
                  </pic:spPr>
                </pic:pic>
              </a:graphicData>
            </a:graphic>
          </wp:inline>
        </w:drawing>
      </w:r>
    </w:p>
    <w:bookmarkEnd w:id="0"/>
    <w:p w14:paraId="0408E53A" w14:textId="77777777" w:rsidR="006B6973" w:rsidRPr="006B6973" w:rsidRDefault="006B6973" w:rsidP="006B6973">
      <w:pPr>
        <w:rPr>
          <w:i/>
          <w:iCs/>
          <w:sz w:val="24"/>
          <w:szCs w:val="24"/>
        </w:rPr>
      </w:pPr>
    </w:p>
    <w:sectPr w:rsidR="006B6973" w:rsidRPr="006B69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35F7"/>
      </v:shape>
    </w:pict>
  </w:numPicBullet>
  <w:abstractNum w:abstractNumId="0" w15:restartNumberingAfterBreak="0">
    <w:nsid w:val="049326CB"/>
    <w:multiLevelType w:val="hybridMultilevel"/>
    <w:tmpl w:val="D26ABD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5714F9"/>
    <w:multiLevelType w:val="multilevel"/>
    <w:tmpl w:val="9F7CF8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F25411A"/>
    <w:multiLevelType w:val="hybridMultilevel"/>
    <w:tmpl w:val="EF4CF534"/>
    <w:lvl w:ilvl="0" w:tplc="2B303B5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6125FB6"/>
    <w:multiLevelType w:val="hybridMultilevel"/>
    <w:tmpl w:val="15608242"/>
    <w:numStyleLink w:val="Bullet"/>
  </w:abstractNum>
  <w:abstractNum w:abstractNumId="4" w15:restartNumberingAfterBreak="0">
    <w:nsid w:val="16D060F5"/>
    <w:multiLevelType w:val="multilevel"/>
    <w:tmpl w:val="1B3644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FBC294C"/>
    <w:multiLevelType w:val="hybridMultilevel"/>
    <w:tmpl w:val="4C860378"/>
    <w:lvl w:ilvl="0" w:tplc="4B72EB3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2A2BDA"/>
    <w:multiLevelType w:val="multilevel"/>
    <w:tmpl w:val="05CA8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849354A"/>
    <w:multiLevelType w:val="hybridMultilevel"/>
    <w:tmpl w:val="1F00C8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392426"/>
    <w:multiLevelType w:val="multilevel"/>
    <w:tmpl w:val="E6F835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A3D0907"/>
    <w:multiLevelType w:val="multilevel"/>
    <w:tmpl w:val="03809B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CC17DDF"/>
    <w:multiLevelType w:val="hybridMultilevel"/>
    <w:tmpl w:val="5F5CC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D2402B"/>
    <w:multiLevelType w:val="multilevel"/>
    <w:tmpl w:val="C8F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1476F"/>
    <w:multiLevelType w:val="hybridMultilevel"/>
    <w:tmpl w:val="4B22CB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2520F21"/>
    <w:multiLevelType w:val="hybridMultilevel"/>
    <w:tmpl w:val="15608242"/>
    <w:styleLink w:val="Bullet"/>
    <w:lvl w:ilvl="0" w:tplc="B7B2A7A8">
      <w:start w:val="1"/>
      <w:numFmt w:val="bullet"/>
      <w:lvlText w:val="•"/>
      <w:lvlJc w:val="left"/>
      <w:pPr>
        <w:ind w:left="720" w:hanging="500"/>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3E4C796">
      <w:start w:val="1"/>
      <w:numFmt w:val="bullet"/>
      <w:lvlText w:val="•"/>
      <w:lvlJc w:val="left"/>
      <w:pPr>
        <w:ind w:left="78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2" w:tplc="79AEA726">
      <w:start w:val="1"/>
      <w:numFmt w:val="bullet"/>
      <w:lvlText w:val="•"/>
      <w:lvlJc w:val="left"/>
      <w:pPr>
        <w:ind w:left="100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3" w:tplc="E2C41D68">
      <w:start w:val="1"/>
      <w:numFmt w:val="bullet"/>
      <w:lvlText w:val="•"/>
      <w:lvlJc w:val="left"/>
      <w:pPr>
        <w:ind w:left="122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4" w:tplc="729080A0">
      <w:start w:val="1"/>
      <w:numFmt w:val="bullet"/>
      <w:lvlText w:val="•"/>
      <w:lvlJc w:val="left"/>
      <w:pPr>
        <w:ind w:left="144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5" w:tplc="F0D4AD8C">
      <w:start w:val="1"/>
      <w:numFmt w:val="bullet"/>
      <w:lvlText w:val="•"/>
      <w:lvlJc w:val="left"/>
      <w:pPr>
        <w:ind w:left="166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6" w:tplc="63FC14C6">
      <w:start w:val="1"/>
      <w:numFmt w:val="bullet"/>
      <w:lvlText w:val="•"/>
      <w:lvlJc w:val="left"/>
      <w:pPr>
        <w:ind w:left="188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7" w:tplc="585E7284">
      <w:start w:val="1"/>
      <w:numFmt w:val="bullet"/>
      <w:lvlText w:val="•"/>
      <w:lvlJc w:val="left"/>
      <w:pPr>
        <w:ind w:left="210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lvl w:ilvl="8" w:tplc="C6BC9E28">
      <w:start w:val="1"/>
      <w:numFmt w:val="bullet"/>
      <w:lvlText w:val="•"/>
      <w:lvlJc w:val="left"/>
      <w:pPr>
        <w:ind w:left="2324" w:hanging="344"/>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2"/>
        <w:highlight w:val="none"/>
        <w:u w:val="none"/>
        <w:effect w:val="none"/>
        <w:vertAlign w:val="baseline"/>
      </w:rPr>
    </w:lvl>
  </w:abstractNum>
  <w:abstractNum w:abstractNumId="14" w15:restartNumberingAfterBreak="0">
    <w:nsid w:val="5620489F"/>
    <w:multiLevelType w:val="hybridMultilevel"/>
    <w:tmpl w:val="788299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CD2A47"/>
    <w:multiLevelType w:val="multilevel"/>
    <w:tmpl w:val="1B3644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24D747F"/>
    <w:multiLevelType w:val="multilevel"/>
    <w:tmpl w:val="1AF0E6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39B1088"/>
    <w:multiLevelType w:val="hybridMultilevel"/>
    <w:tmpl w:val="B2B2E032"/>
    <w:lvl w:ilvl="0" w:tplc="0407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1516FC1"/>
    <w:multiLevelType w:val="hybridMultilevel"/>
    <w:tmpl w:val="09B00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D515FC"/>
    <w:multiLevelType w:val="multilevel"/>
    <w:tmpl w:val="116E18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7EB837C5"/>
    <w:multiLevelType w:val="multilevel"/>
    <w:tmpl w:val="9B186F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8"/>
  </w:num>
  <w:num w:numId="2">
    <w:abstractNumId w:val="14"/>
  </w:num>
  <w:num w:numId="3">
    <w:abstractNumId w:val="5"/>
  </w:num>
  <w:num w:numId="4">
    <w:abstractNumId w:val="2"/>
  </w:num>
  <w:num w:numId="5">
    <w:abstractNumId w:val="11"/>
  </w:num>
  <w:num w:numId="6">
    <w:abstractNumId w:val="10"/>
  </w:num>
  <w:num w:numId="7">
    <w:abstractNumId w:val="20"/>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9"/>
  </w:num>
  <w:num w:numId="13">
    <w:abstractNumId w:val="15"/>
  </w:num>
  <w:num w:numId="14">
    <w:abstractNumId w:val="8"/>
  </w:num>
  <w:num w:numId="15">
    <w:abstractNumId w:val="6"/>
  </w:num>
  <w:num w:numId="16">
    <w:abstractNumId w:val="1"/>
  </w:num>
  <w:num w:numId="17">
    <w:abstractNumId w:val="16"/>
  </w:num>
  <w:num w:numId="18">
    <w:abstractNumId w:val="4"/>
  </w:num>
  <w:num w:numId="19">
    <w:abstractNumId w:val="7"/>
  </w:num>
  <w:num w:numId="20">
    <w:abstractNumId w:val="12"/>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A"/>
    <w:rsid w:val="00046C7A"/>
    <w:rsid w:val="000576CF"/>
    <w:rsid w:val="002173C3"/>
    <w:rsid w:val="00224D29"/>
    <w:rsid w:val="00345937"/>
    <w:rsid w:val="003477EA"/>
    <w:rsid w:val="003C10C2"/>
    <w:rsid w:val="003E53B1"/>
    <w:rsid w:val="00484746"/>
    <w:rsid w:val="004F35E9"/>
    <w:rsid w:val="004F6CE3"/>
    <w:rsid w:val="0053544A"/>
    <w:rsid w:val="005825F0"/>
    <w:rsid w:val="0060350A"/>
    <w:rsid w:val="006B04D5"/>
    <w:rsid w:val="006B3460"/>
    <w:rsid w:val="006B6973"/>
    <w:rsid w:val="00764556"/>
    <w:rsid w:val="0084117D"/>
    <w:rsid w:val="00857815"/>
    <w:rsid w:val="00860C20"/>
    <w:rsid w:val="008B0C5F"/>
    <w:rsid w:val="0094684A"/>
    <w:rsid w:val="00960817"/>
    <w:rsid w:val="00A22B3D"/>
    <w:rsid w:val="00A70B11"/>
    <w:rsid w:val="00B80FC5"/>
    <w:rsid w:val="00BC4B74"/>
    <w:rsid w:val="00C42876"/>
    <w:rsid w:val="00C66667"/>
    <w:rsid w:val="00C85F28"/>
    <w:rsid w:val="00D6033F"/>
    <w:rsid w:val="00D975D4"/>
    <w:rsid w:val="00E324A2"/>
    <w:rsid w:val="00E55C62"/>
    <w:rsid w:val="00F55EFE"/>
    <w:rsid w:val="00F74082"/>
    <w:rsid w:val="00F82320"/>
  </w:rsids>
  <m:mathPr>
    <m:mathFont m:val="Cambria Math"/>
    <m:brkBin m:val="before"/>
    <m:brkBinSub m:val="--"/>
    <m:smallFrac m:val="0"/>
    <m:dispDef/>
    <m:lMargin m:val="0"/>
    <m:rMargin m:val="0"/>
    <m:defJc m:val="centerGroup"/>
    <m:wrapIndent m:val="1440"/>
    <m:intLim m:val="subSup"/>
    <m:naryLim m:val="undOvr"/>
  </m:mathPr>
  <w:themeFontLang w:val="de-DE"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8AD9"/>
  <w15:chartTrackingRefBased/>
  <w15:docId w15:val="{4367F927-B06F-4C76-9C0B-0EB6FC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5937"/>
    <w:pPr>
      <w:ind w:left="720"/>
      <w:contextualSpacing/>
    </w:pPr>
  </w:style>
  <w:style w:type="character" w:styleId="Hyperlink">
    <w:name w:val="Hyperlink"/>
    <w:basedOn w:val="Absatz-Standardschriftart"/>
    <w:uiPriority w:val="99"/>
    <w:unhideWhenUsed/>
    <w:rsid w:val="008B0C5F"/>
    <w:rPr>
      <w:color w:val="0563C1" w:themeColor="hyperlink"/>
      <w:u w:val="single"/>
    </w:rPr>
  </w:style>
  <w:style w:type="character" w:styleId="NichtaufgelsteErwhnung">
    <w:name w:val="Unresolved Mention"/>
    <w:basedOn w:val="Absatz-Standardschriftart"/>
    <w:uiPriority w:val="99"/>
    <w:semiHidden/>
    <w:unhideWhenUsed/>
    <w:rsid w:val="008B0C5F"/>
    <w:rPr>
      <w:color w:val="605E5C"/>
      <w:shd w:val="clear" w:color="auto" w:fill="E1DFDD"/>
    </w:rPr>
  </w:style>
  <w:style w:type="paragraph" w:styleId="KeinLeerraum">
    <w:name w:val="No Spacing"/>
    <w:uiPriority w:val="1"/>
    <w:qFormat/>
    <w:rsid w:val="00857815"/>
    <w:pPr>
      <w:spacing w:after="0" w:line="240" w:lineRule="auto"/>
    </w:pPr>
  </w:style>
  <w:style w:type="paragraph" w:styleId="StandardWeb">
    <w:name w:val="Normal (Web)"/>
    <w:basedOn w:val="Standard"/>
    <w:uiPriority w:val="99"/>
    <w:unhideWhenUsed/>
    <w:rsid w:val="00860C20"/>
    <w:pPr>
      <w:spacing w:before="100" w:beforeAutospacing="1" w:after="100" w:afterAutospacing="1" w:line="240" w:lineRule="auto"/>
    </w:pPr>
    <w:rPr>
      <w:rFonts w:ascii="Times New Roman" w:eastAsia="Times New Roman" w:hAnsi="Times New Roman" w:cs="Times New Roman"/>
      <w:sz w:val="24"/>
      <w:szCs w:val="24"/>
      <w:lang w:eastAsia="de-DE" w:bidi="bn-IN"/>
    </w:rPr>
  </w:style>
  <w:style w:type="character" w:customStyle="1" w:styleId="apple-tab-span">
    <w:name w:val="apple-tab-span"/>
    <w:basedOn w:val="Absatz-Standardschriftart"/>
    <w:rsid w:val="00860C20"/>
  </w:style>
  <w:style w:type="paragraph" w:customStyle="1" w:styleId="Default">
    <w:name w:val="Default"/>
    <w:rsid w:val="00484746"/>
    <w:pPr>
      <w:spacing w:before="160" w:after="0" w:line="288" w:lineRule="auto"/>
    </w:pPr>
    <w:rPr>
      <w:rFonts w:ascii="Helvetica Neue" w:eastAsia="Arial Unicode MS" w:hAnsi="Helvetica Neue" w:cs="Arial Unicode MS"/>
      <w:color w:val="000000"/>
      <w:sz w:val="24"/>
      <w:szCs w:val="24"/>
      <w:lang w:eastAsia="de-DE"/>
      <w14:textOutline w14:w="0" w14:cap="flat" w14:cmpd="sng" w14:algn="ctr">
        <w14:noFill/>
        <w14:prstDash w14:val="solid"/>
        <w14:bevel/>
      </w14:textOutline>
    </w:rPr>
  </w:style>
  <w:style w:type="character" w:customStyle="1" w:styleId="Hyperlink0">
    <w:name w:val="Hyperlink.0"/>
    <w:basedOn w:val="Hyperlink"/>
    <w:rsid w:val="00484746"/>
    <w:rPr>
      <w:color w:val="0563C1" w:themeColor="hyperlink"/>
      <w:u w:val="single"/>
    </w:rPr>
  </w:style>
  <w:style w:type="character" w:customStyle="1" w:styleId="None">
    <w:name w:val="None"/>
    <w:rsid w:val="00484746"/>
  </w:style>
  <w:style w:type="character" w:customStyle="1" w:styleId="Hyperlink1">
    <w:name w:val="Hyperlink.1"/>
    <w:basedOn w:val="None"/>
    <w:rsid w:val="00484746"/>
    <w:rPr>
      <w:outline w:val="0"/>
      <w:shadow w:val="0"/>
      <w:emboss w:val="0"/>
      <w:imprint w:val="0"/>
      <w:color w:val="1155CC"/>
      <w:u w:val="single"/>
    </w:rPr>
  </w:style>
  <w:style w:type="numbering" w:customStyle="1" w:styleId="Bullet">
    <w:name w:val="Bullet"/>
    <w:rsid w:val="0048474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043">
      <w:bodyDiv w:val="1"/>
      <w:marLeft w:val="0"/>
      <w:marRight w:val="0"/>
      <w:marTop w:val="0"/>
      <w:marBottom w:val="0"/>
      <w:divBdr>
        <w:top w:val="none" w:sz="0" w:space="0" w:color="auto"/>
        <w:left w:val="none" w:sz="0" w:space="0" w:color="auto"/>
        <w:bottom w:val="none" w:sz="0" w:space="0" w:color="auto"/>
        <w:right w:val="none" w:sz="0" w:space="0" w:color="auto"/>
      </w:divBdr>
    </w:div>
    <w:div w:id="97526625">
      <w:bodyDiv w:val="1"/>
      <w:marLeft w:val="0"/>
      <w:marRight w:val="0"/>
      <w:marTop w:val="0"/>
      <w:marBottom w:val="0"/>
      <w:divBdr>
        <w:top w:val="none" w:sz="0" w:space="0" w:color="auto"/>
        <w:left w:val="none" w:sz="0" w:space="0" w:color="auto"/>
        <w:bottom w:val="none" w:sz="0" w:space="0" w:color="auto"/>
        <w:right w:val="none" w:sz="0" w:space="0" w:color="auto"/>
      </w:divBdr>
    </w:div>
    <w:div w:id="126506821">
      <w:bodyDiv w:val="1"/>
      <w:marLeft w:val="0"/>
      <w:marRight w:val="0"/>
      <w:marTop w:val="0"/>
      <w:marBottom w:val="0"/>
      <w:divBdr>
        <w:top w:val="none" w:sz="0" w:space="0" w:color="auto"/>
        <w:left w:val="none" w:sz="0" w:space="0" w:color="auto"/>
        <w:bottom w:val="none" w:sz="0" w:space="0" w:color="auto"/>
        <w:right w:val="none" w:sz="0" w:space="0" w:color="auto"/>
      </w:divBdr>
    </w:div>
    <w:div w:id="157967466">
      <w:bodyDiv w:val="1"/>
      <w:marLeft w:val="0"/>
      <w:marRight w:val="0"/>
      <w:marTop w:val="0"/>
      <w:marBottom w:val="0"/>
      <w:divBdr>
        <w:top w:val="none" w:sz="0" w:space="0" w:color="auto"/>
        <w:left w:val="none" w:sz="0" w:space="0" w:color="auto"/>
        <w:bottom w:val="none" w:sz="0" w:space="0" w:color="auto"/>
        <w:right w:val="none" w:sz="0" w:space="0" w:color="auto"/>
      </w:divBdr>
    </w:div>
    <w:div w:id="200672336">
      <w:bodyDiv w:val="1"/>
      <w:marLeft w:val="0"/>
      <w:marRight w:val="0"/>
      <w:marTop w:val="0"/>
      <w:marBottom w:val="0"/>
      <w:divBdr>
        <w:top w:val="none" w:sz="0" w:space="0" w:color="auto"/>
        <w:left w:val="none" w:sz="0" w:space="0" w:color="auto"/>
        <w:bottom w:val="none" w:sz="0" w:space="0" w:color="auto"/>
        <w:right w:val="none" w:sz="0" w:space="0" w:color="auto"/>
      </w:divBdr>
    </w:div>
    <w:div w:id="245237021">
      <w:bodyDiv w:val="1"/>
      <w:marLeft w:val="0"/>
      <w:marRight w:val="0"/>
      <w:marTop w:val="0"/>
      <w:marBottom w:val="0"/>
      <w:divBdr>
        <w:top w:val="none" w:sz="0" w:space="0" w:color="auto"/>
        <w:left w:val="none" w:sz="0" w:space="0" w:color="auto"/>
        <w:bottom w:val="none" w:sz="0" w:space="0" w:color="auto"/>
        <w:right w:val="none" w:sz="0" w:space="0" w:color="auto"/>
      </w:divBdr>
    </w:div>
    <w:div w:id="287787704">
      <w:bodyDiv w:val="1"/>
      <w:marLeft w:val="0"/>
      <w:marRight w:val="0"/>
      <w:marTop w:val="0"/>
      <w:marBottom w:val="0"/>
      <w:divBdr>
        <w:top w:val="none" w:sz="0" w:space="0" w:color="auto"/>
        <w:left w:val="none" w:sz="0" w:space="0" w:color="auto"/>
        <w:bottom w:val="none" w:sz="0" w:space="0" w:color="auto"/>
        <w:right w:val="none" w:sz="0" w:space="0" w:color="auto"/>
      </w:divBdr>
    </w:div>
    <w:div w:id="417749937">
      <w:bodyDiv w:val="1"/>
      <w:marLeft w:val="0"/>
      <w:marRight w:val="0"/>
      <w:marTop w:val="0"/>
      <w:marBottom w:val="0"/>
      <w:divBdr>
        <w:top w:val="none" w:sz="0" w:space="0" w:color="auto"/>
        <w:left w:val="none" w:sz="0" w:space="0" w:color="auto"/>
        <w:bottom w:val="none" w:sz="0" w:space="0" w:color="auto"/>
        <w:right w:val="none" w:sz="0" w:space="0" w:color="auto"/>
      </w:divBdr>
    </w:div>
    <w:div w:id="688992791">
      <w:bodyDiv w:val="1"/>
      <w:marLeft w:val="0"/>
      <w:marRight w:val="0"/>
      <w:marTop w:val="0"/>
      <w:marBottom w:val="0"/>
      <w:divBdr>
        <w:top w:val="none" w:sz="0" w:space="0" w:color="auto"/>
        <w:left w:val="none" w:sz="0" w:space="0" w:color="auto"/>
        <w:bottom w:val="none" w:sz="0" w:space="0" w:color="auto"/>
        <w:right w:val="none" w:sz="0" w:space="0" w:color="auto"/>
      </w:divBdr>
    </w:div>
    <w:div w:id="839537610">
      <w:bodyDiv w:val="1"/>
      <w:marLeft w:val="0"/>
      <w:marRight w:val="0"/>
      <w:marTop w:val="0"/>
      <w:marBottom w:val="0"/>
      <w:divBdr>
        <w:top w:val="none" w:sz="0" w:space="0" w:color="auto"/>
        <w:left w:val="none" w:sz="0" w:space="0" w:color="auto"/>
        <w:bottom w:val="none" w:sz="0" w:space="0" w:color="auto"/>
        <w:right w:val="none" w:sz="0" w:space="0" w:color="auto"/>
      </w:divBdr>
    </w:div>
    <w:div w:id="915282360">
      <w:bodyDiv w:val="1"/>
      <w:marLeft w:val="0"/>
      <w:marRight w:val="0"/>
      <w:marTop w:val="0"/>
      <w:marBottom w:val="0"/>
      <w:divBdr>
        <w:top w:val="none" w:sz="0" w:space="0" w:color="auto"/>
        <w:left w:val="none" w:sz="0" w:space="0" w:color="auto"/>
        <w:bottom w:val="none" w:sz="0" w:space="0" w:color="auto"/>
        <w:right w:val="none" w:sz="0" w:space="0" w:color="auto"/>
      </w:divBdr>
    </w:div>
    <w:div w:id="916784982">
      <w:bodyDiv w:val="1"/>
      <w:marLeft w:val="0"/>
      <w:marRight w:val="0"/>
      <w:marTop w:val="0"/>
      <w:marBottom w:val="0"/>
      <w:divBdr>
        <w:top w:val="none" w:sz="0" w:space="0" w:color="auto"/>
        <w:left w:val="none" w:sz="0" w:space="0" w:color="auto"/>
        <w:bottom w:val="none" w:sz="0" w:space="0" w:color="auto"/>
        <w:right w:val="none" w:sz="0" w:space="0" w:color="auto"/>
      </w:divBdr>
    </w:div>
    <w:div w:id="1053651883">
      <w:bodyDiv w:val="1"/>
      <w:marLeft w:val="0"/>
      <w:marRight w:val="0"/>
      <w:marTop w:val="0"/>
      <w:marBottom w:val="0"/>
      <w:divBdr>
        <w:top w:val="none" w:sz="0" w:space="0" w:color="auto"/>
        <w:left w:val="none" w:sz="0" w:space="0" w:color="auto"/>
        <w:bottom w:val="none" w:sz="0" w:space="0" w:color="auto"/>
        <w:right w:val="none" w:sz="0" w:space="0" w:color="auto"/>
      </w:divBdr>
    </w:div>
    <w:div w:id="1142501632">
      <w:bodyDiv w:val="1"/>
      <w:marLeft w:val="0"/>
      <w:marRight w:val="0"/>
      <w:marTop w:val="0"/>
      <w:marBottom w:val="0"/>
      <w:divBdr>
        <w:top w:val="none" w:sz="0" w:space="0" w:color="auto"/>
        <w:left w:val="none" w:sz="0" w:space="0" w:color="auto"/>
        <w:bottom w:val="none" w:sz="0" w:space="0" w:color="auto"/>
        <w:right w:val="none" w:sz="0" w:space="0" w:color="auto"/>
      </w:divBdr>
    </w:div>
    <w:div w:id="1272518362">
      <w:bodyDiv w:val="1"/>
      <w:marLeft w:val="0"/>
      <w:marRight w:val="0"/>
      <w:marTop w:val="0"/>
      <w:marBottom w:val="0"/>
      <w:divBdr>
        <w:top w:val="none" w:sz="0" w:space="0" w:color="auto"/>
        <w:left w:val="none" w:sz="0" w:space="0" w:color="auto"/>
        <w:bottom w:val="none" w:sz="0" w:space="0" w:color="auto"/>
        <w:right w:val="none" w:sz="0" w:space="0" w:color="auto"/>
      </w:divBdr>
    </w:div>
    <w:div w:id="1287928694">
      <w:bodyDiv w:val="1"/>
      <w:marLeft w:val="0"/>
      <w:marRight w:val="0"/>
      <w:marTop w:val="0"/>
      <w:marBottom w:val="0"/>
      <w:divBdr>
        <w:top w:val="none" w:sz="0" w:space="0" w:color="auto"/>
        <w:left w:val="none" w:sz="0" w:space="0" w:color="auto"/>
        <w:bottom w:val="none" w:sz="0" w:space="0" w:color="auto"/>
        <w:right w:val="none" w:sz="0" w:space="0" w:color="auto"/>
      </w:divBdr>
    </w:div>
    <w:div w:id="1299804771">
      <w:bodyDiv w:val="1"/>
      <w:marLeft w:val="0"/>
      <w:marRight w:val="0"/>
      <w:marTop w:val="0"/>
      <w:marBottom w:val="0"/>
      <w:divBdr>
        <w:top w:val="none" w:sz="0" w:space="0" w:color="auto"/>
        <w:left w:val="none" w:sz="0" w:space="0" w:color="auto"/>
        <w:bottom w:val="none" w:sz="0" w:space="0" w:color="auto"/>
        <w:right w:val="none" w:sz="0" w:space="0" w:color="auto"/>
      </w:divBdr>
    </w:div>
    <w:div w:id="1433623812">
      <w:bodyDiv w:val="1"/>
      <w:marLeft w:val="0"/>
      <w:marRight w:val="0"/>
      <w:marTop w:val="0"/>
      <w:marBottom w:val="0"/>
      <w:divBdr>
        <w:top w:val="none" w:sz="0" w:space="0" w:color="auto"/>
        <w:left w:val="none" w:sz="0" w:space="0" w:color="auto"/>
        <w:bottom w:val="none" w:sz="0" w:space="0" w:color="auto"/>
        <w:right w:val="none" w:sz="0" w:space="0" w:color="auto"/>
      </w:divBdr>
    </w:div>
    <w:div w:id="1508132866">
      <w:bodyDiv w:val="1"/>
      <w:marLeft w:val="0"/>
      <w:marRight w:val="0"/>
      <w:marTop w:val="0"/>
      <w:marBottom w:val="0"/>
      <w:divBdr>
        <w:top w:val="none" w:sz="0" w:space="0" w:color="auto"/>
        <w:left w:val="none" w:sz="0" w:space="0" w:color="auto"/>
        <w:bottom w:val="none" w:sz="0" w:space="0" w:color="auto"/>
        <w:right w:val="none" w:sz="0" w:space="0" w:color="auto"/>
      </w:divBdr>
    </w:div>
    <w:div w:id="1536505442">
      <w:bodyDiv w:val="1"/>
      <w:marLeft w:val="0"/>
      <w:marRight w:val="0"/>
      <w:marTop w:val="0"/>
      <w:marBottom w:val="0"/>
      <w:divBdr>
        <w:top w:val="none" w:sz="0" w:space="0" w:color="auto"/>
        <w:left w:val="none" w:sz="0" w:space="0" w:color="auto"/>
        <w:bottom w:val="none" w:sz="0" w:space="0" w:color="auto"/>
        <w:right w:val="none" w:sz="0" w:space="0" w:color="auto"/>
      </w:divBdr>
    </w:div>
    <w:div w:id="1783956234">
      <w:bodyDiv w:val="1"/>
      <w:marLeft w:val="0"/>
      <w:marRight w:val="0"/>
      <w:marTop w:val="0"/>
      <w:marBottom w:val="0"/>
      <w:divBdr>
        <w:top w:val="none" w:sz="0" w:space="0" w:color="auto"/>
        <w:left w:val="none" w:sz="0" w:space="0" w:color="auto"/>
        <w:bottom w:val="none" w:sz="0" w:space="0" w:color="auto"/>
        <w:right w:val="none" w:sz="0" w:space="0" w:color="auto"/>
      </w:divBdr>
    </w:div>
    <w:div w:id="1861578987">
      <w:bodyDiv w:val="1"/>
      <w:marLeft w:val="0"/>
      <w:marRight w:val="0"/>
      <w:marTop w:val="0"/>
      <w:marBottom w:val="0"/>
      <w:divBdr>
        <w:top w:val="none" w:sz="0" w:space="0" w:color="auto"/>
        <w:left w:val="none" w:sz="0" w:space="0" w:color="auto"/>
        <w:bottom w:val="none" w:sz="0" w:space="0" w:color="auto"/>
        <w:right w:val="none" w:sz="0" w:space="0" w:color="auto"/>
      </w:divBdr>
    </w:div>
    <w:div w:id="1930850836">
      <w:bodyDiv w:val="1"/>
      <w:marLeft w:val="0"/>
      <w:marRight w:val="0"/>
      <w:marTop w:val="0"/>
      <w:marBottom w:val="0"/>
      <w:divBdr>
        <w:top w:val="none" w:sz="0" w:space="0" w:color="auto"/>
        <w:left w:val="none" w:sz="0" w:space="0" w:color="auto"/>
        <w:bottom w:val="none" w:sz="0" w:space="0" w:color="auto"/>
        <w:right w:val="none" w:sz="0" w:space="0" w:color="auto"/>
      </w:divBdr>
    </w:div>
    <w:div w:id="1954902071">
      <w:bodyDiv w:val="1"/>
      <w:marLeft w:val="0"/>
      <w:marRight w:val="0"/>
      <w:marTop w:val="0"/>
      <w:marBottom w:val="0"/>
      <w:divBdr>
        <w:top w:val="none" w:sz="0" w:space="0" w:color="auto"/>
        <w:left w:val="none" w:sz="0" w:space="0" w:color="auto"/>
        <w:bottom w:val="none" w:sz="0" w:space="0" w:color="auto"/>
        <w:right w:val="none" w:sz="0" w:space="0" w:color="auto"/>
      </w:divBdr>
    </w:div>
    <w:div w:id="2030256917">
      <w:bodyDiv w:val="1"/>
      <w:marLeft w:val="0"/>
      <w:marRight w:val="0"/>
      <w:marTop w:val="0"/>
      <w:marBottom w:val="0"/>
      <w:divBdr>
        <w:top w:val="none" w:sz="0" w:space="0" w:color="auto"/>
        <w:left w:val="none" w:sz="0" w:space="0" w:color="auto"/>
        <w:bottom w:val="none" w:sz="0" w:space="0" w:color="auto"/>
        <w:right w:val="none" w:sz="0" w:space="0" w:color="auto"/>
      </w:divBdr>
    </w:div>
    <w:div w:id="2063555712">
      <w:bodyDiv w:val="1"/>
      <w:marLeft w:val="0"/>
      <w:marRight w:val="0"/>
      <w:marTop w:val="0"/>
      <w:marBottom w:val="0"/>
      <w:divBdr>
        <w:top w:val="none" w:sz="0" w:space="0" w:color="auto"/>
        <w:left w:val="none" w:sz="0" w:space="0" w:color="auto"/>
        <w:bottom w:val="none" w:sz="0" w:space="0" w:color="auto"/>
        <w:right w:val="none" w:sz="0" w:space="0" w:color="auto"/>
      </w:divBdr>
    </w:div>
    <w:div w:id="2111391677">
      <w:bodyDiv w:val="1"/>
      <w:marLeft w:val="0"/>
      <w:marRight w:val="0"/>
      <w:marTop w:val="0"/>
      <w:marBottom w:val="0"/>
      <w:divBdr>
        <w:top w:val="none" w:sz="0" w:space="0" w:color="auto"/>
        <w:left w:val="none" w:sz="0" w:space="0" w:color="auto"/>
        <w:bottom w:val="none" w:sz="0" w:space="0" w:color="auto"/>
        <w:right w:val="none" w:sz="0" w:space="0" w:color="auto"/>
      </w:divBdr>
    </w:div>
    <w:div w:id="21306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ermany/news/20190919_de" TargetMode="External"/><Relationship Id="rId13" Type="http://schemas.openxmlformats.org/officeDocument/2006/relationships/hyperlink" Target="https://www.bmwi.de/Redaktion/DE/Artikel/Aussenwirtschaft/freihandelsabkommen-aktuelle-verhandlungen.html" TargetMode="External"/><Relationship Id="rId18" Type="http://schemas.openxmlformats.org/officeDocument/2006/relationships/image" Target="http://tdm2000.pl/wp-content/uploads/2014/09/128156_Logo_Erasmus___60ko.jpg"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wto.org/english/tratop_e/dispu_e/cases_e/ds549_e.html" TargetMode="External"/><Relationship Id="rId12" Type="http://schemas.openxmlformats.org/officeDocument/2006/relationships/hyperlink" Target="https://www.igfm.de/china/"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ilium.europa.eu/de/press/press-releases/2020/12/07/eu-adopts-a-global-human-rights-sanctions-regime/" TargetMode="External"/><Relationship Id="rId20" Type="http://schemas.openxmlformats.org/officeDocument/2006/relationships/image" Target="https://mitwirkung.dbjr.de/wp-content/uploads/2018/08/YGLogoGeneral-640x420.png" TargetMode="External"/><Relationship Id="rId1" Type="http://schemas.openxmlformats.org/officeDocument/2006/relationships/numbering" Target="numbering.xml"/><Relationship Id="rId6" Type="http://schemas.openxmlformats.org/officeDocument/2006/relationships/hyperlink" Target="https://www.wto.org/english/thewto_e/whatis_e/whatis_e.htm" TargetMode="External"/><Relationship Id="rId11" Type="http://schemas.openxmlformats.org/officeDocument/2006/relationships/hyperlink" Target="https://www.europarl.europa.eu/news/de/press-room/20210122IPR96215/lieferketten-unternehmen-fur-schaden-an-mensch-und-umwelt-verantwortlich"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www.tagesschau.de/ausland/asien/seidenstrasse-113.html" TargetMode="External"/><Relationship Id="rId23" Type="http://schemas.openxmlformats.org/officeDocument/2006/relationships/image" Target="media/image7.png"/><Relationship Id="rId10" Type="http://schemas.openxmlformats.org/officeDocument/2006/relationships/hyperlink" Target="https://ec.europa.eu/germany/news/20210122-investitionsabkommen-eu-china_d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c.europa.eu/germany/news/20210312-eu-china-investitionsabkommen_de" TargetMode="External"/><Relationship Id="rId14" Type="http://schemas.openxmlformats.org/officeDocument/2006/relationships/hyperlink" Target="https://www.bpb.de/nachschlagen/lexika/lexikon-der-wirtschaft/19653/handelsbilanz" TargetMode="Externa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Lübbe</dc:creator>
  <cp:keywords/>
  <dc:description/>
  <cp:lastModifiedBy>Christopher Lucht</cp:lastModifiedBy>
  <cp:revision>2</cp:revision>
  <dcterms:created xsi:type="dcterms:W3CDTF">2021-06-23T09:09:00Z</dcterms:created>
  <dcterms:modified xsi:type="dcterms:W3CDTF">2021-06-23T09:09:00Z</dcterms:modified>
</cp:coreProperties>
</file>